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3061" w14:textId="77777777" w:rsidR="0040322C" w:rsidRPr="005E19F6" w:rsidRDefault="0040322C" w:rsidP="0040322C">
      <w:pPr>
        <w:spacing w:before="120"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bookmarkStart w:id="0" w:name="_Hlk63086009"/>
      <w:r w:rsidRPr="005E19F6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UMOWA WSPÓŁPRACY GOSPODARCZEJ</w:t>
      </w:r>
    </w:p>
    <w:p w14:paraId="6717C66A" w14:textId="77777777" w:rsidR="0040322C" w:rsidRPr="0040322C" w:rsidRDefault="0040322C" w:rsidP="0040322C">
      <w:pPr>
        <w:spacing w:before="120" w:after="0" w:line="276" w:lineRule="auto"/>
        <w:contextualSpacing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</w:p>
    <w:p w14:paraId="1623ADCC" w14:textId="01FE72B0" w:rsidR="0040322C" w:rsidRPr="0040322C" w:rsidRDefault="0040322C" w:rsidP="0040322C">
      <w:pPr>
        <w:spacing w:before="120" w:after="0" w:line="276" w:lineRule="auto"/>
        <w:contextualSpacing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zawarta w Gdyni w dniu ………</w:t>
      </w:r>
      <w:r w:rsidR="00E33668">
        <w:rPr>
          <w:rFonts w:ascii="Cambria" w:eastAsia="Times New Roman" w:hAnsi="Cambria" w:cs="Times New Roman"/>
          <w:lang w:eastAsia="pl-PL"/>
        </w:rPr>
        <w:t>…………………………</w:t>
      </w:r>
      <w:r w:rsidRPr="0040322C">
        <w:rPr>
          <w:rFonts w:ascii="Cambria" w:eastAsia="Times New Roman" w:hAnsi="Cambria" w:cs="Times New Roman"/>
          <w:lang w:eastAsia="pl-PL"/>
        </w:rPr>
        <w:t>… roku pomiędzy:</w:t>
      </w:r>
    </w:p>
    <w:p w14:paraId="71CF240D" w14:textId="02C36C65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lang w:eastAsia="pl-PL"/>
        </w:rPr>
        <w:t>Zarządem Morskiego Portu Gdynia Spółka Akcyjna</w:t>
      </w:r>
      <w:r w:rsidRPr="0040322C">
        <w:rPr>
          <w:rFonts w:ascii="Cambria" w:eastAsia="Times New Roman" w:hAnsi="Cambria" w:cs="Times New Roman"/>
          <w:lang w:eastAsia="pl-PL"/>
        </w:rPr>
        <w:t xml:space="preserve"> z siedzibą: 81-337 Gdynia, </w:t>
      </w:r>
      <w:r w:rsidR="005E19F6">
        <w:rPr>
          <w:rFonts w:ascii="Cambria" w:eastAsia="Times New Roman" w:hAnsi="Cambria" w:cs="Times New Roman"/>
          <w:lang w:eastAsia="pl-PL"/>
        </w:rPr>
        <w:t xml:space="preserve">                        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ul. Rotterdamska 9, wpisaną do Krajowego Rejestru Sądowego - Rejestru Przedsiębiorców prowadzonego przez Sąd Rejonowy Gdańsk-Północ w Gdańsku, VIII Wydział Gospodarczy </w:t>
      </w:r>
      <w:r w:rsidR="00856A11">
        <w:rPr>
          <w:rFonts w:ascii="Cambria" w:eastAsia="Times New Roman" w:hAnsi="Cambria" w:cs="Times New Roman"/>
          <w:lang w:eastAsia="pl-PL"/>
        </w:rPr>
        <w:t xml:space="preserve">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pod numerem KRS: 0000082699, kapitał zakładowy i wpłacony: 112.285.300,00 zł, </w:t>
      </w:r>
      <w:r w:rsidR="00856A11">
        <w:rPr>
          <w:rFonts w:ascii="Cambria" w:eastAsia="Times New Roman" w:hAnsi="Cambria" w:cs="Times New Roman"/>
          <w:lang w:eastAsia="pl-PL"/>
        </w:rPr>
        <w:t xml:space="preserve">                                       </w:t>
      </w:r>
      <w:r w:rsidRPr="0040322C">
        <w:rPr>
          <w:rFonts w:ascii="Cambria" w:eastAsia="Times New Roman" w:hAnsi="Cambria" w:cs="Times New Roman"/>
          <w:bCs/>
          <w:lang w:eastAsia="pl-PL"/>
        </w:rPr>
        <w:t>NIP: 958-13-23-524,</w:t>
      </w:r>
      <w:r w:rsidRPr="0040322C">
        <w:rPr>
          <w:rFonts w:ascii="Cambria" w:eastAsia="Times New Roman" w:hAnsi="Cambria" w:cs="Times New Roman"/>
          <w:lang w:eastAsia="pl-PL"/>
        </w:rPr>
        <w:t xml:space="preserve">  reprezentowaną przez: </w:t>
      </w:r>
    </w:p>
    <w:p w14:paraId="32A708B9" w14:textId="77777777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……………………………………..</w:t>
      </w:r>
    </w:p>
    <w:p w14:paraId="4D0680BD" w14:textId="77777777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……………………………………..</w:t>
      </w:r>
    </w:p>
    <w:p w14:paraId="0D85C335" w14:textId="77777777" w:rsidR="0040322C" w:rsidRPr="0040322C" w:rsidRDefault="0040322C" w:rsidP="0040322C">
      <w:pPr>
        <w:spacing w:before="120" w:after="0" w:line="276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zwaną dalej </w:t>
      </w:r>
      <w:r w:rsidRPr="0040322C">
        <w:rPr>
          <w:rFonts w:ascii="Cambria" w:eastAsia="Times New Roman" w:hAnsi="Cambria" w:cs="Times New Roman"/>
          <w:b/>
          <w:bCs/>
          <w:lang w:eastAsia="pl-PL"/>
        </w:rPr>
        <w:t>„Portem”</w:t>
      </w:r>
    </w:p>
    <w:p w14:paraId="5F9E74FC" w14:textId="5EE04E31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wydruk informacji odpowiadającej odpisowi aktualnemu z KRS Portu pobranej na podstawie </w:t>
      </w:r>
      <w:r w:rsidR="00C836A1">
        <w:rPr>
          <w:rFonts w:ascii="Cambria" w:eastAsia="Times New Roman" w:hAnsi="Cambria" w:cs="Times New Roman"/>
          <w:lang w:eastAsia="pl-PL"/>
        </w:rPr>
        <w:t xml:space="preserve">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art. 4 ust. 4aa ustawy o KRS stanowi Załącznik nr 1 do umowy </w:t>
      </w:r>
    </w:p>
    <w:p w14:paraId="5CFAD23E" w14:textId="77777777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a</w:t>
      </w:r>
    </w:p>
    <w:p w14:paraId="1D60878A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C8C02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reprezentowaną przez: </w:t>
      </w:r>
    </w:p>
    <w:p w14:paraId="7CD3D827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……………………………………..</w:t>
      </w:r>
    </w:p>
    <w:p w14:paraId="66184F8B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……………………………………..</w:t>
      </w:r>
    </w:p>
    <w:p w14:paraId="4DB07F9B" w14:textId="0BEEA8CC" w:rsidR="0040322C" w:rsidRPr="0040322C" w:rsidRDefault="0040322C" w:rsidP="0040322C">
      <w:pPr>
        <w:spacing w:before="120" w:after="0" w:line="276" w:lineRule="auto"/>
        <w:contextualSpacing/>
        <w:rPr>
          <w:rFonts w:ascii="Cambria" w:eastAsia="Times New Roman" w:hAnsi="Cambria" w:cs="Times New Roman"/>
          <w:b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zwanym dalej „</w:t>
      </w:r>
      <w:r w:rsidRPr="0040322C">
        <w:rPr>
          <w:rFonts w:ascii="Cambria" w:eastAsia="Times New Roman" w:hAnsi="Cambria" w:cs="Times New Roman"/>
          <w:b/>
          <w:bCs/>
          <w:lang w:eastAsia="pl-PL"/>
        </w:rPr>
        <w:t>Operatorem</w:t>
      </w:r>
      <w:r w:rsidRPr="0040322C">
        <w:rPr>
          <w:rFonts w:ascii="Cambria" w:eastAsia="Times New Roman" w:hAnsi="Cambria" w:cs="Times New Roman"/>
          <w:lang w:eastAsia="pl-PL"/>
        </w:rPr>
        <w:t xml:space="preserve">”, a łącznie </w:t>
      </w:r>
      <w:r w:rsidRPr="0040322C">
        <w:rPr>
          <w:rFonts w:ascii="Cambria" w:eastAsia="Times New Roman" w:hAnsi="Cambria" w:cs="Times New Roman"/>
          <w:b/>
          <w:bCs/>
          <w:lang w:eastAsia="pl-PL"/>
        </w:rPr>
        <w:t>„Stronami”</w:t>
      </w:r>
      <w:r w:rsidRPr="0040322C">
        <w:rPr>
          <w:rFonts w:ascii="Cambria" w:eastAsia="Times New Roman" w:hAnsi="Cambria" w:cs="Times New Roman"/>
          <w:b/>
          <w:lang w:eastAsia="pl-PL"/>
        </w:rPr>
        <w:t xml:space="preserve">, </w:t>
      </w:r>
    </w:p>
    <w:p w14:paraId="071C3DAC" w14:textId="77777777" w:rsidR="0040322C" w:rsidRPr="0040322C" w:rsidRDefault="0040322C" w:rsidP="0040322C">
      <w:p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wydruk informacji odpowiadającej odpisowi aktualnemu z KRS Operatora pobranej na podstawie art. 4 ust. 4aa ustawy o KRS stanowi Załącznik nr 2 do Umowy 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o następującej treści: </w:t>
      </w:r>
    </w:p>
    <w:p w14:paraId="61769339" w14:textId="77777777" w:rsidR="0040322C" w:rsidRPr="0040322C" w:rsidRDefault="0040322C" w:rsidP="0040322C">
      <w:pPr>
        <w:spacing w:before="120" w:after="0" w:line="276" w:lineRule="auto"/>
        <w:ind w:left="720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CFAE433" w14:textId="77777777" w:rsidR="0040322C" w:rsidRPr="0040322C" w:rsidRDefault="0040322C" w:rsidP="0040322C">
      <w:pPr>
        <w:spacing w:before="120" w:after="0" w:line="276" w:lineRule="auto"/>
        <w:ind w:left="720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</w:t>
      </w:r>
    </w:p>
    <w:p w14:paraId="601140FB" w14:textId="77777777" w:rsidR="0040322C" w:rsidRPr="0040322C" w:rsidRDefault="0040322C" w:rsidP="0040322C">
      <w:pPr>
        <w:spacing w:before="120" w:after="0" w:line="276" w:lineRule="auto"/>
        <w:ind w:left="720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[DEFINICJE]</w:t>
      </w:r>
    </w:p>
    <w:p w14:paraId="10F6CFD4" w14:textId="77777777" w:rsidR="0040322C" w:rsidRPr="0040322C" w:rsidRDefault="0040322C" w:rsidP="0040322C">
      <w:pPr>
        <w:numPr>
          <w:ilvl w:val="0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Użyte w Umowie określenia i skróty oznaczają:</w:t>
      </w:r>
    </w:p>
    <w:p w14:paraId="678FA80B" w14:textId="77777777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t>Umowa</w:t>
      </w:r>
      <w:r w:rsidRPr="0040322C">
        <w:rPr>
          <w:rFonts w:ascii="Cambria" w:eastAsia="Times New Roman" w:hAnsi="Cambria" w:cs="Times New Roman"/>
          <w:lang w:eastAsia="pl-PL"/>
        </w:rPr>
        <w:t xml:space="preserve"> – niniejsza Umowa Współpracy Gospodarczej;</w:t>
      </w:r>
    </w:p>
    <w:p w14:paraId="0D2E9866" w14:textId="27977671" w:rsidR="0040322C" w:rsidRPr="00A16A47" w:rsidRDefault="0040322C" w:rsidP="008D7C76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A16A47">
        <w:rPr>
          <w:rFonts w:ascii="Cambria" w:eastAsia="Times New Roman" w:hAnsi="Cambria" w:cs="Times New Roman"/>
          <w:b/>
          <w:bCs/>
          <w:lang w:eastAsia="pl-PL"/>
        </w:rPr>
        <w:t>Nieruchomość</w:t>
      </w:r>
      <w:r w:rsidRPr="00A16A47">
        <w:rPr>
          <w:rFonts w:ascii="Cambria" w:eastAsia="Times New Roman" w:hAnsi="Cambria" w:cs="Times New Roman"/>
          <w:lang w:eastAsia="pl-PL"/>
        </w:rPr>
        <w:t xml:space="preserve">– </w:t>
      </w:r>
      <w:r w:rsidRPr="00A16A47">
        <w:rPr>
          <w:rFonts w:ascii="Cambria" w:eastAsia="Times New Roman" w:hAnsi="Cambria" w:cs="Times New Roman"/>
          <w:iCs/>
          <w:lang w:eastAsia="pl-PL"/>
        </w:rPr>
        <w:t xml:space="preserve">będąca własnością Skarbu Państwa w użytkowaniu </w:t>
      </w:r>
      <w:r w:rsidRPr="00A16A47">
        <w:rPr>
          <w:rFonts w:ascii="Cambria" w:eastAsia="Times New Roman" w:hAnsi="Cambria" w:cs="Times New Roman"/>
          <w:lang w:eastAsia="pl-PL"/>
        </w:rPr>
        <w:t xml:space="preserve">wieczystym Portu, zabudowana nieruchomość gruntowa położona </w:t>
      </w:r>
      <w:r w:rsidRPr="00A01501">
        <w:rPr>
          <w:rFonts w:ascii="Cambria" w:eastAsia="Times New Roman" w:hAnsi="Cambria" w:cs="Times New Roman"/>
          <w:lang w:eastAsia="pl-PL"/>
        </w:rPr>
        <w:t xml:space="preserve">przy nabrzeżach: </w:t>
      </w:r>
      <w:r w:rsidR="00C836A1" w:rsidRPr="00A01501">
        <w:rPr>
          <w:rFonts w:ascii="Cambria" w:eastAsia="Times New Roman" w:hAnsi="Cambria" w:cs="Times New Roman"/>
          <w:lang w:eastAsia="pl-PL"/>
        </w:rPr>
        <w:t xml:space="preserve">                                      </w:t>
      </w:r>
      <w:r w:rsidR="008D7C76" w:rsidRPr="00A16A47">
        <w:rPr>
          <w:rFonts w:ascii="Cambria" w:eastAsia="Times New Roman" w:hAnsi="Cambria" w:cs="Times New Roman"/>
          <w:lang w:eastAsia="pl-PL"/>
        </w:rPr>
        <w:t xml:space="preserve">Helskim I, Helskim II, Bułgarskim, Oksywskim, ul. Kwiatkowskiego, ul. Kontenerowej, ul. Logistycznej w Porcie Gdynia o łącznej powierzchni </w:t>
      </w:r>
      <w:r w:rsidR="008D7C76" w:rsidRPr="00405DF1">
        <w:rPr>
          <w:rFonts w:ascii="Cambria" w:eastAsia="Times New Roman" w:hAnsi="Cambria" w:cs="Times New Roman"/>
          <w:lang w:eastAsia="pl-PL"/>
        </w:rPr>
        <w:t>597.990 m</w:t>
      </w:r>
      <w:r w:rsidR="008D7C76" w:rsidRPr="00405DF1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="008D7C76" w:rsidRPr="00405DF1">
        <w:rPr>
          <w:rFonts w:ascii="Cambria" w:eastAsia="Times New Roman" w:hAnsi="Cambria" w:cs="Times New Roman"/>
          <w:lang w:eastAsia="pl-PL"/>
        </w:rPr>
        <w:t>,</w:t>
      </w:r>
      <w:r w:rsidRPr="00A16A47">
        <w:rPr>
          <w:rFonts w:ascii="Cambria" w:eastAsia="Times New Roman" w:hAnsi="Cambria" w:cs="Times New Roman"/>
          <w:lang w:eastAsia="pl-PL"/>
        </w:rPr>
        <w:t xml:space="preserve"> szczegółowo opisana w Umowie Dzierżawy wskazanej w punkcie 4 </w:t>
      </w:r>
      <w:r w:rsidR="00E5390E">
        <w:rPr>
          <w:rFonts w:ascii="Cambria" w:eastAsia="Times New Roman" w:hAnsi="Cambria" w:cs="Times New Roman"/>
          <w:lang w:eastAsia="pl-PL"/>
        </w:rPr>
        <w:t>niniejszego paragrafu</w:t>
      </w:r>
      <w:r w:rsidRPr="00A16A47">
        <w:rPr>
          <w:rFonts w:ascii="Cambria" w:eastAsia="Times New Roman" w:hAnsi="Cambria" w:cs="Times New Roman"/>
          <w:lang w:eastAsia="pl-PL"/>
        </w:rPr>
        <w:t>, będąca Przedmiotem Dzierżawy;</w:t>
      </w:r>
    </w:p>
    <w:p w14:paraId="4F9931D5" w14:textId="13E50AEE" w:rsidR="0040322C" w:rsidRPr="002D211E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t>Umowa Przedwstępna</w:t>
      </w:r>
      <w:r w:rsidRPr="0040322C">
        <w:rPr>
          <w:rFonts w:ascii="Cambria" w:eastAsia="Times New Roman" w:hAnsi="Cambria" w:cs="Times New Roman"/>
          <w:lang w:eastAsia="pl-PL"/>
        </w:rPr>
        <w:t xml:space="preserve"> – przedwstępna umowa dzierżawy </w:t>
      </w:r>
      <w:r w:rsidRPr="002D211E">
        <w:rPr>
          <w:rFonts w:ascii="Cambria" w:eastAsia="Times New Roman" w:hAnsi="Cambria" w:cs="Times New Roman"/>
          <w:lang w:eastAsia="pl-PL"/>
        </w:rPr>
        <w:t xml:space="preserve">Nieruchomości zawarta pomiędzy Portem a Operatorem, stanowiąca załącznik do wniosku o wyrażenie zgody przez ministra właściwego do spraw gospodarki morskiej na oddanie przez Port Nieruchomości w dzierżawę na czas oznaczony 30 lat (słownie: trzydzieści lat), od dnia </w:t>
      </w:r>
      <w:r w:rsidR="00E5390E">
        <w:rPr>
          <w:rFonts w:ascii="Cambria" w:eastAsia="Times New Roman" w:hAnsi="Cambria" w:cs="Times New Roman"/>
          <w:lang w:eastAsia="pl-PL"/>
        </w:rPr>
        <w:t>1.06.2023 roku</w:t>
      </w:r>
      <w:r w:rsidRPr="002D211E">
        <w:rPr>
          <w:rFonts w:ascii="Cambria" w:eastAsia="Times New Roman" w:hAnsi="Cambria" w:cs="Times New Roman"/>
          <w:lang w:eastAsia="pl-PL"/>
        </w:rPr>
        <w:t>;</w:t>
      </w:r>
    </w:p>
    <w:p w14:paraId="43199BBC" w14:textId="77777777" w:rsidR="0040322C" w:rsidRPr="002D211E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D211E">
        <w:rPr>
          <w:rFonts w:ascii="Cambria" w:eastAsia="Times New Roman" w:hAnsi="Cambria" w:cs="Times New Roman"/>
          <w:b/>
          <w:bCs/>
          <w:lang w:eastAsia="pl-PL"/>
        </w:rPr>
        <w:t>Umowa Dzierżawy</w:t>
      </w:r>
      <w:r w:rsidRPr="002D211E">
        <w:rPr>
          <w:rFonts w:ascii="Cambria" w:eastAsia="Times New Roman" w:hAnsi="Cambria" w:cs="Times New Roman"/>
          <w:lang w:eastAsia="pl-PL"/>
        </w:rPr>
        <w:t xml:space="preserve"> – umowa dzierżawy Nieruchomości, która ma zostać zawarta pomiędzy Portem a Operatorem w wykonaniu Umowy przedwstępnej;</w:t>
      </w:r>
    </w:p>
    <w:p w14:paraId="48784F97" w14:textId="77777777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2D211E">
        <w:rPr>
          <w:rFonts w:ascii="Cambria" w:eastAsia="Times New Roman" w:hAnsi="Cambria" w:cs="Times New Roman"/>
          <w:b/>
          <w:bCs/>
          <w:lang w:eastAsia="pl-PL"/>
        </w:rPr>
        <w:t>Umowy</w:t>
      </w:r>
      <w:r w:rsidRPr="002D211E">
        <w:rPr>
          <w:rFonts w:ascii="Cambria" w:eastAsia="Times New Roman" w:hAnsi="Cambria" w:cs="Times New Roman"/>
          <w:lang w:eastAsia="pl-PL"/>
        </w:rPr>
        <w:t xml:space="preserve"> – niniejsza Umowa Współpracy Gospodarczej (Umowa) oraz Umowa</w:t>
      </w:r>
      <w:r w:rsidRPr="0040322C">
        <w:rPr>
          <w:rFonts w:ascii="Cambria" w:eastAsia="Times New Roman" w:hAnsi="Cambria" w:cs="Times New Roman"/>
          <w:lang w:eastAsia="pl-PL"/>
        </w:rPr>
        <w:t xml:space="preserve"> Dzierżawy;</w:t>
      </w:r>
    </w:p>
    <w:p w14:paraId="4A923AF5" w14:textId="77777777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lastRenderedPageBreak/>
        <w:t>Przeładunek w obrocie portowo morskim</w:t>
      </w:r>
      <w:r w:rsidRPr="0040322C">
        <w:rPr>
          <w:rFonts w:ascii="Cambria" w:eastAsia="Times New Roman" w:hAnsi="Cambria" w:cs="Times New Roman"/>
          <w:lang w:eastAsia="pl-PL"/>
        </w:rPr>
        <w:t xml:space="preserve"> - przeładunek towaru w relacji plac składowy - burta statku lub odwrotnie, ewentualnie bezpośrednio w relacji burta statku - środek transportu lądowego lub odwrotnie, a także przeładunek w relacji burta statku - burta statku z wykorzystaniem nabrzeży, przy których położona jest Nieruchomość;</w:t>
      </w:r>
    </w:p>
    <w:p w14:paraId="66ECA071" w14:textId="77777777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t>TEU</w:t>
      </w:r>
      <w:r w:rsidRPr="0040322C">
        <w:rPr>
          <w:rFonts w:ascii="Cambria" w:eastAsia="Times New Roman" w:hAnsi="Cambria" w:cs="Times New Roman"/>
          <w:lang w:eastAsia="pl-PL"/>
        </w:rPr>
        <w:t xml:space="preserve"> - umowna jednostka przeliczeniowa odpowiadająca kontenerowi 20 - stopowemu ISO;</w:t>
      </w:r>
    </w:p>
    <w:p w14:paraId="4834A3F7" w14:textId="5A9BACA0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t xml:space="preserve">Okres rozliczeniowy </w:t>
      </w:r>
      <w:r w:rsidRPr="0040322C">
        <w:rPr>
          <w:rFonts w:ascii="Cambria" w:eastAsia="Times New Roman" w:hAnsi="Cambria" w:cs="Times New Roman"/>
          <w:lang w:eastAsia="pl-PL"/>
        </w:rPr>
        <w:t xml:space="preserve">– okres każdego kolejnego pełnego roku kalendarzowego </w:t>
      </w:r>
      <w:r w:rsidRPr="0040322C">
        <w:rPr>
          <w:rFonts w:ascii="Cambria" w:eastAsia="Times New Roman" w:hAnsi="Cambria" w:cs="Times New Roman"/>
          <w:lang w:eastAsia="pl-PL"/>
        </w:rPr>
        <w:br/>
        <w:t>z zastrzeżeniem, że pierwszym okresem rozliczeniowym jest okres liczony od dnia wydania Nieruchomości do dnia 31 grudnia tego samego roku, a ostatnim okresem rozliczeniowym jest okres od dnia 1 stycznia ostatniego roku obowiązywania Umowy do dnia zakończenia jej obowiązywania;</w:t>
      </w:r>
    </w:p>
    <w:p w14:paraId="26832355" w14:textId="537DC556" w:rsidR="0040322C" w:rsidRPr="0040322C" w:rsidRDefault="0040322C" w:rsidP="0040322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lang w:eastAsia="pl-PL"/>
        </w:rPr>
        <w:t>Terminal</w:t>
      </w:r>
      <w:r w:rsidRPr="0040322C">
        <w:rPr>
          <w:rFonts w:ascii="Cambria" w:eastAsia="Times New Roman" w:hAnsi="Cambria" w:cs="Times New Roman"/>
          <w:lang w:eastAsia="pl-PL"/>
        </w:rPr>
        <w:t xml:space="preserve"> - zespół składników niematerialnych i materialnych służących </w:t>
      </w:r>
      <w:r w:rsidR="00C836A1">
        <w:rPr>
          <w:rFonts w:ascii="Cambria" w:eastAsia="Times New Roman" w:hAnsi="Cambria" w:cs="Times New Roman"/>
          <w:lang w:eastAsia="pl-PL"/>
        </w:rPr>
        <w:t xml:space="preserve">                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do świadczenia usług w obrocie portowo – morskim w morskim porcie w Gdyni </w:t>
      </w:r>
      <w:r w:rsidR="00F164D2">
        <w:rPr>
          <w:rFonts w:ascii="Cambria" w:eastAsia="Times New Roman" w:hAnsi="Cambria" w:cs="Times New Roman"/>
          <w:lang w:eastAsia="pl-PL"/>
        </w:rPr>
        <w:t xml:space="preserve">                         </w:t>
      </w:r>
      <w:r w:rsidRPr="0040322C">
        <w:rPr>
          <w:rFonts w:ascii="Cambria" w:eastAsia="Times New Roman" w:hAnsi="Cambria" w:cs="Times New Roman"/>
          <w:lang w:eastAsia="pl-PL"/>
        </w:rPr>
        <w:t>na Nieruchomości;</w:t>
      </w:r>
    </w:p>
    <w:p w14:paraId="680CF9F7" w14:textId="77777777" w:rsidR="0040322C" w:rsidRPr="0040322C" w:rsidRDefault="0040322C" w:rsidP="0040322C">
      <w:pPr>
        <w:spacing w:after="0" w:line="276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DE6A65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bookmarkStart w:id="1" w:name="_Hlk98937782"/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§ 2</w:t>
      </w:r>
    </w:p>
    <w:p w14:paraId="73A49395" w14:textId="6341CE24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[PRZEDMIOT UMOWY. </w:t>
      </w:r>
      <w:r w:rsidR="00361648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OKRES</w:t>
      </w: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 OBOWIĄZYWANIA UMOWY]</w:t>
      </w:r>
    </w:p>
    <w:p w14:paraId="0BBEB4BE" w14:textId="77777777" w:rsidR="0040322C" w:rsidRPr="0040322C" w:rsidRDefault="0040322C" w:rsidP="004032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Umowa określa wzajemne zobowiązania Stron pozostające w ścisłym związku </w:t>
      </w:r>
      <w:r w:rsidRPr="0040322C">
        <w:rPr>
          <w:rFonts w:ascii="Cambria" w:eastAsia="Times New Roman" w:hAnsi="Cambria" w:cs="Times New Roman"/>
          <w:lang w:eastAsia="pl-PL"/>
        </w:rPr>
        <w:br/>
        <w:t>z Umową Dzierżawy.</w:t>
      </w:r>
    </w:p>
    <w:p w14:paraId="2E288902" w14:textId="77777777" w:rsidR="0040322C" w:rsidRPr="0040322C" w:rsidRDefault="0040322C" w:rsidP="004032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hAnsi="Cambria" w:cs="Times New Roman"/>
        </w:rPr>
        <w:t>Umowa jest komplementarna w stosunku do Umowy Dzierżawy w tym sensie, że reguluje kompleksowo pozostałe zobowiązania Stron wynikające z prowadzenia działalności gospodarczej przez Operatora. W razie sprzeczności postanowienia Umowy z Umową Dzierżawy o treści takiego postanowienia rozstrzygają odpowiednie zapisy Umowy Dzierżawy</w:t>
      </w:r>
      <w:r w:rsidRPr="0040322C">
        <w:rPr>
          <w:rFonts w:ascii="Cambria" w:eastAsia="Times New Roman" w:hAnsi="Cambria" w:cs="Times New Roman"/>
          <w:lang w:eastAsia="pl-PL"/>
        </w:rPr>
        <w:t>.</w:t>
      </w:r>
    </w:p>
    <w:p w14:paraId="40669226" w14:textId="2980285C" w:rsidR="00405DF1" w:rsidRPr="00173DCC" w:rsidRDefault="0040322C" w:rsidP="004032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2" w:name="_Hlk98937851"/>
      <w:r w:rsidRPr="00173DCC">
        <w:rPr>
          <w:rFonts w:ascii="Cambria" w:eastAsia="Times New Roman" w:hAnsi="Cambria" w:cs="Times New Roman"/>
          <w:lang w:eastAsia="pl-PL"/>
        </w:rPr>
        <w:t xml:space="preserve">Umowa obowiązuje </w:t>
      </w:r>
      <w:r w:rsidRPr="00173DCC">
        <w:rPr>
          <w:rFonts w:ascii="Cambria" w:hAnsi="Cambria" w:cs="Times New Roman"/>
        </w:rPr>
        <w:t>od dnia wydania Nieruchomości Operatorowi</w:t>
      </w:r>
      <w:r w:rsidR="00224E18" w:rsidRPr="00173DCC">
        <w:rPr>
          <w:rFonts w:ascii="Cambria" w:hAnsi="Cambria" w:cs="Times New Roman"/>
        </w:rPr>
        <w:t xml:space="preserve">, do dnia </w:t>
      </w:r>
      <w:bookmarkEnd w:id="1"/>
      <w:r w:rsidR="00E925C1" w:rsidRPr="00173DCC">
        <w:rPr>
          <w:rFonts w:ascii="Cambria" w:eastAsia="Times New Roman" w:hAnsi="Cambria" w:cs="Times New Roman"/>
          <w:lang w:eastAsia="pl-PL"/>
        </w:rPr>
        <w:t xml:space="preserve">wygaśnięcia </w:t>
      </w:r>
      <w:r w:rsidR="00F164D2">
        <w:rPr>
          <w:rFonts w:ascii="Cambria" w:eastAsia="Times New Roman" w:hAnsi="Cambria" w:cs="Times New Roman"/>
          <w:lang w:eastAsia="pl-PL"/>
        </w:rPr>
        <w:t xml:space="preserve">                        </w:t>
      </w:r>
      <w:r w:rsidR="00E925C1" w:rsidRPr="00173DCC">
        <w:rPr>
          <w:rFonts w:ascii="Cambria" w:eastAsia="Times New Roman" w:hAnsi="Cambria" w:cs="Times New Roman"/>
          <w:lang w:eastAsia="pl-PL"/>
        </w:rPr>
        <w:t>lub rozwiązania Umowy Dzierżawy</w:t>
      </w:r>
      <w:r w:rsidR="00E925C1" w:rsidRPr="00173DC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bookmarkEnd w:id="2"/>
    <w:p w14:paraId="49274210" w14:textId="77777777" w:rsidR="00E925C1" w:rsidRDefault="00E925C1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3D8CB9D3" w14:textId="0CFFB74A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§ 3</w:t>
      </w:r>
    </w:p>
    <w:p w14:paraId="5AC1A64C" w14:textId="1E779B4E" w:rsidR="0040322C" w:rsidRPr="0040322C" w:rsidRDefault="0040322C" w:rsidP="0040322C">
      <w:pPr>
        <w:spacing w:before="120"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</w:t>
      </w:r>
      <w:r w:rsidR="004D0EA5">
        <w:rPr>
          <w:rFonts w:ascii="Cambria" w:eastAsia="Times New Roman" w:hAnsi="Cambria" w:cs="Times New Roman"/>
          <w:b/>
          <w:sz w:val="18"/>
          <w:szCs w:val="18"/>
          <w:lang w:eastAsia="pl-PL"/>
        </w:rPr>
        <w:t>PRZEZNACZENIE TERMINALA</w:t>
      </w: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]</w:t>
      </w:r>
    </w:p>
    <w:p w14:paraId="521598DC" w14:textId="72C66810" w:rsidR="0040322C" w:rsidRPr="0040322C" w:rsidRDefault="0040322C" w:rsidP="0040322C">
      <w:pPr>
        <w:numPr>
          <w:ilvl w:val="0"/>
          <w:numId w:val="13"/>
        </w:numPr>
        <w:spacing w:line="276" w:lineRule="auto"/>
        <w:contextualSpacing/>
        <w:rPr>
          <w:rFonts w:ascii="Cambria" w:hAnsi="Cambria"/>
        </w:rPr>
      </w:pPr>
      <w:r w:rsidRPr="0040322C">
        <w:rPr>
          <w:rFonts w:ascii="Cambria" w:hAnsi="Cambria"/>
        </w:rPr>
        <w:t>Operator będzie zarządzać i eksploatować Terminal, którego przeznaczeniem jest:</w:t>
      </w:r>
    </w:p>
    <w:p w14:paraId="2196154D" w14:textId="141ABC01" w:rsidR="0040322C" w:rsidRPr="00D9741B" w:rsidRDefault="0040322C" w:rsidP="0040322C">
      <w:pPr>
        <w:numPr>
          <w:ilvl w:val="1"/>
          <w:numId w:val="13"/>
        </w:numPr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40322C">
        <w:rPr>
          <w:rFonts w:ascii="Cambria" w:hAnsi="Cambria"/>
        </w:rPr>
        <w:t>obrót portowo-morski ładunków drobnicowych</w:t>
      </w:r>
      <w:r w:rsidRPr="0040322C">
        <w:rPr>
          <w:rFonts w:ascii="Cambria" w:hAnsi="Cambria"/>
          <w:color w:val="000000"/>
          <w:sz w:val="24"/>
          <w:szCs w:val="24"/>
        </w:rPr>
        <w:t xml:space="preserve"> </w:t>
      </w:r>
      <w:r w:rsidRPr="0040322C">
        <w:rPr>
          <w:rFonts w:ascii="Cambria" w:hAnsi="Cambria"/>
        </w:rPr>
        <w:t xml:space="preserve">niezależnie od technologii przeładunku (ro-ro lub </w:t>
      </w:r>
      <w:proofErr w:type="spellStart"/>
      <w:r w:rsidRPr="0040322C">
        <w:rPr>
          <w:rFonts w:ascii="Cambria" w:hAnsi="Cambria"/>
        </w:rPr>
        <w:t>lo-lo</w:t>
      </w:r>
      <w:proofErr w:type="spellEnd"/>
      <w:r w:rsidRPr="0040322C">
        <w:rPr>
          <w:rFonts w:ascii="Cambria" w:hAnsi="Cambria"/>
        </w:rPr>
        <w:t>),</w:t>
      </w:r>
      <w:r w:rsidR="00295511">
        <w:rPr>
          <w:rFonts w:ascii="Cambria" w:hAnsi="Cambria"/>
        </w:rPr>
        <w:t xml:space="preserve"> </w:t>
      </w:r>
      <w:r w:rsidRPr="0040322C">
        <w:rPr>
          <w:rFonts w:ascii="Cambria" w:hAnsi="Cambria"/>
        </w:rPr>
        <w:t>ze szczególnym uwzględnieniem obrotu kontenerowego oraz wszelkiej działalności gospodarczej z nim związanej</w:t>
      </w:r>
      <w:r w:rsidR="00295511">
        <w:rPr>
          <w:rFonts w:ascii="Cambria" w:hAnsi="Cambria"/>
        </w:rPr>
        <w:t>;</w:t>
      </w:r>
      <w:r w:rsidRPr="0040322C">
        <w:rPr>
          <w:rFonts w:ascii="Cambria" w:hAnsi="Cambria"/>
        </w:rPr>
        <w:t xml:space="preserve"> </w:t>
      </w:r>
    </w:p>
    <w:p w14:paraId="15E427C9" w14:textId="60AB2503" w:rsidR="00397114" w:rsidRPr="00D91BE2" w:rsidRDefault="00397114" w:rsidP="00397114">
      <w:pPr>
        <w:numPr>
          <w:ilvl w:val="1"/>
          <w:numId w:val="13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przeładunek ładunków </w:t>
      </w:r>
      <w:r w:rsidRPr="00D91BE2">
        <w:rPr>
          <w:rFonts w:ascii="Times New Roman" w:hAnsi="Times New Roman" w:cs="Times New Roman"/>
          <w:color w:val="1A1919"/>
          <w:sz w:val="24"/>
          <w:szCs w:val="24"/>
          <w:shd w:val="clear" w:color="auto" w:fill="FFFFFF"/>
        </w:rPr>
        <w:t xml:space="preserve">ponadgabarytowych </w:t>
      </w:r>
    </w:p>
    <w:p w14:paraId="67AFE124" w14:textId="77777777" w:rsidR="0040322C" w:rsidRPr="0040322C" w:rsidRDefault="0040322C" w:rsidP="0040322C">
      <w:pPr>
        <w:numPr>
          <w:ilvl w:val="1"/>
          <w:numId w:val="13"/>
        </w:numPr>
        <w:spacing w:line="276" w:lineRule="auto"/>
        <w:contextualSpacing/>
        <w:jc w:val="both"/>
        <w:rPr>
          <w:rFonts w:ascii="Cambria" w:hAnsi="Cambria"/>
          <w:i/>
          <w:iCs/>
          <w:sz w:val="18"/>
          <w:szCs w:val="18"/>
        </w:rPr>
      </w:pPr>
      <w:r w:rsidRPr="0040322C">
        <w:rPr>
          <w:rFonts w:ascii="Cambria" w:hAnsi="Cambria"/>
        </w:rPr>
        <w:t>przeładunek na rzecz wojsk sprzymierzonych.</w:t>
      </w:r>
    </w:p>
    <w:p w14:paraId="615D03A2" w14:textId="77777777" w:rsidR="0040322C" w:rsidRPr="0040322C" w:rsidRDefault="0040322C" w:rsidP="0040322C">
      <w:pPr>
        <w:numPr>
          <w:ilvl w:val="0"/>
          <w:numId w:val="13"/>
        </w:numPr>
        <w:spacing w:line="276" w:lineRule="auto"/>
        <w:contextualSpacing/>
        <w:jc w:val="both"/>
        <w:rPr>
          <w:rFonts w:ascii="Cambria" w:hAnsi="Cambria"/>
          <w:i/>
          <w:iCs/>
          <w:sz w:val="18"/>
          <w:szCs w:val="18"/>
        </w:rPr>
      </w:pPr>
      <w:r w:rsidRPr="0040322C">
        <w:rPr>
          <w:rFonts w:ascii="Cambria" w:hAnsi="Cambria"/>
        </w:rPr>
        <w:t>Port nie wyraża zgody na prowadzenie w Terminalu przeładunku i składowania:</w:t>
      </w:r>
    </w:p>
    <w:p w14:paraId="48614AB9" w14:textId="77777777" w:rsidR="0040322C" w:rsidRPr="0040322C" w:rsidRDefault="0040322C" w:rsidP="0040322C">
      <w:pPr>
        <w:numPr>
          <w:ilvl w:val="1"/>
          <w:numId w:val="13"/>
        </w:numPr>
        <w:spacing w:line="276" w:lineRule="auto"/>
        <w:contextualSpacing/>
        <w:jc w:val="both"/>
        <w:rPr>
          <w:rFonts w:ascii="Cambria" w:hAnsi="Cambria"/>
          <w:i/>
          <w:iCs/>
          <w:sz w:val="18"/>
          <w:szCs w:val="18"/>
        </w:rPr>
      </w:pPr>
      <w:r w:rsidRPr="0040322C">
        <w:rPr>
          <w:rFonts w:ascii="Cambria" w:hAnsi="Cambria"/>
        </w:rPr>
        <w:t>ładunków masowych luzem, złomu i innych rodzajów odpadów;</w:t>
      </w:r>
    </w:p>
    <w:p w14:paraId="577C721F" w14:textId="77777777" w:rsidR="0040322C" w:rsidRPr="0040322C" w:rsidRDefault="0040322C" w:rsidP="0040322C">
      <w:pPr>
        <w:numPr>
          <w:ilvl w:val="1"/>
          <w:numId w:val="13"/>
        </w:numPr>
        <w:spacing w:line="276" w:lineRule="auto"/>
        <w:contextualSpacing/>
        <w:jc w:val="both"/>
        <w:rPr>
          <w:rFonts w:ascii="Cambria" w:hAnsi="Cambria"/>
          <w:i/>
          <w:iCs/>
          <w:sz w:val="18"/>
          <w:szCs w:val="18"/>
        </w:rPr>
      </w:pPr>
      <w:r w:rsidRPr="0040322C">
        <w:rPr>
          <w:rFonts w:ascii="Cambria" w:hAnsi="Cambria"/>
        </w:rPr>
        <w:t>prowadzenia działalności stoczniowej (budowa, przebudowa, remonty, likwidacja statków i innych obiektów pływających lub ich segmentów/części).</w:t>
      </w:r>
    </w:p>
    <w:p w14:paraId="2C302D90" w14:textId="36F98458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6506E21A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4</w:t>
      </w:r>
    </w:p>
    <w:p w14:paraId="541CEFC3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[ZOBOWIĄZANIA OPERATORA – UTRZYMANIE PUBLICZNEGO CHARAKTERU TERMINALU]</w:t>
      </w:r>
    </w:p>
    <w:p w14:paraId="7526F064" w14:textId="77777777" w:rsidR="0040322C" w:rsidRPr="0040322C" w:rsidRDefault="0040322C" w:rsidP="0040322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Operator zobowiązuje się do utrzymywania przez cały okres obowiązywania Umowy publicznego charakteru Terminalu, przez co rozumie się świadczenie usług w obrocie portowo-morskim na rzecz każdego zainteresowanego podmiotu, z zastrzeżeniem: </w:t>
      </w:r>
    </w:p>
    <w:p w14:paraId="71E12363" w14:textId="2BD29134" w:rsidR="0040322C" w:rsidRPr="0040322C" w:rsidRDefault="0040322C" w:rsidP="0040322C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lastRenderedPageBreak/>
        <w:t>zaakceptowania przez zainteresowan</w:t>
      </w:r>
      <w:r w:rsidR="00904DBB">
        <w:rPr>
          <w:rFonts w:ascii="Cambria" w:eastAsia="Times New Roman" w:hAnsi="Cambria" w:cs="Times New Roman"/>
          <w:bCs/>
          <w:lang w:eastAsia="pl-PL"/>
        </w:rPr>
        <w:t>y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podmiot określonych warunków świadczenia usług, w tym w szczególności w zakresie cen oraz warunków płatności za świadczone przez Operatora usługi;</w:t>
      </w:r>
    </w:p>
    <w:p w14:paraId="65177EEE" w14:textId="77777777" w:rsidR="0040322C" w:rsidRPr="0040322C" w:rsidRDefault="0040322C" w:rsidP="0040322C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terminowego regulowania przez nie należnych opłat;</w:t>
      </w:r>
    </w:p>
    <w:p w14:paraId="516D54F0" w14:textId="77777777" w:rsidR="0040322C" w:rsidRPr="0040322C" w:rsidRDefault="0040322C" w:rsidP="0040322C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możliwości techniczno-eksploatacyjnych Operatora i względów bezpieczeństwa związanych z przeładunkiem.</w:t>
      </w:r>
    </w:p>
    <w:p w14:paraId="100078CF" w14:textId="77777777" w:rsidR="0040322C" w:rsidRPr="0040322C" w:rsidRDefault="0040322C" w:rsidP="0040322C">
      <w:pPr>
        <w:numPr>
          <w:ilvl w:val="0"/>
          <w:numId w:val="3"/>
        </w:numPr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Operator zobowiązuje się zapewnić:</w:t>
      </w:r>
    </w:p>
    <w:p w14:paraId="7D2753E5" w14:textId="77777777" w:rsidR="0040322C" w:rsidRPr="0040322C" w:rsidRDefault="0040322C" w:rsidP="0040322C">
      <w:pPr>
        <w:numPr>
          <w:ilvl w:val="1"/>
          <w:numId w:val="3"/>
        </w:numPr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zdolność i płynność finansową dla potrzeb niezakłóconej działalności Terminalu;</w:t>
      </w:r>
    </w:p>
    <w:p w14:paraId="68CA68F5" w14:textId="06F7BEF5" w:rsidR="0040322C" w:rsidRPr="0040322C" w:rsidRDefault="0040322C" w:rsidP="0040322C">
      <w:pPr>
        <w:numPr>
          <w:ilvl w:val="1"/>
          <w:numId w:val="3"/>
        </w:numPr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niezbędne urządzenia, sprzęt i wyposażenie do świadczenia usług Terminalu </w:t>
      </w:r>
      <w:r>
        <w:rPr>
          <w:rFonts w:ascii="Cambria" w:eastAsia="Times New Roman" w:hAnsi="Cambria" w:cs="Times New Roman"/>
          <w:bCs/>
          <w:lang w:eastAsia="pl-PL"/>
        </w:rPr>
        <w:br/>
      </w:r>
      <w:r w:rsidRPr="0040322C">
        <w:rPr>
          <w:rFonts w:ascii="Cambria" w:eastAsia="Times New Roman" w:hAnsi="Cambria" w:cs="Times New Roman"/>
          <w:bCs/>
          <w:lang w:eastAsia="pl-PL"/>
        </w:rPr>
        <w:t>w normalnych i bezpiecznych warunkach.</w:t>
      </w:r>
    </w:p>
    <w:p w14:paraId="38296715" w14:textId="488770E3" w:rsidR="0040322C" w:rsidRPr="0040322C" w:rsidRDefault="0040322C" w:rsidP="0040322C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Za naruszenie postanowienia określonego w ust. 1 niniejszego paragrafu, Operator zapłaci Portowi karę umowną określoną w § 9 ust. 1 pkt </w:t>
      </w:r>
      <w:r w:rsidR="00295511">
        <w:rPr>
          <w:rFonts w:ascii="Cambria" w:eastAsia="Times New Roman" w:hAnsi="Cambria" w:cs="Times New Roman"/>
          <w:bCs/>
          <w:lang w:eastAsia="pl-PL"/>
        </w:rPr>
        <w:t>1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.  </w:t>
      </w:r>
    </w:p>
    <w:p w14:paraId="27644F92" w14:textId="77777777" w:rsidR="0040322C" w:rsidRPr="0040322C" w:rsidRDefault="0040322C" w:rsidP="0040322C">
      <w:pPr>
        <w:numPr>
          <w:ilvl w:val="0"/>
          <w:numId w:val="3"/>
        </w:numPr>
        <w:spacing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bookmarkStart w:id="3" w:name="_Hlk79479156"/>
      <w:r w:rsidRPr="0040322C">
        <w:rPr>
          <w:rFonts w:ascii="Cambria" w:eastAsia="Times New Roman" w:hAnsi="Cambria" w:cs="Times New Roman"/>
          <w:bCs/>
          <w:lang w:eastAsia="pl-PL"/>
        </w:rPr>
        <w:t xml:space="preserve">Operator zobowiązuje się do zarządzania ruchem kolejowym w obszarze manewrowym </w:t>
      </w:r>
      <w:bookmarkEnd w:id="3"/>
      <w:r w:rsidRPr="0040322C">
        <w:rPr>
          <w:rFonts w:ascii="Cambria" w:eastAsia="Times New Roman" w:hAnsi="Cambria" w:cs="Times New Roman"/>
          <w:bCs/>
          <w:lang w:eastAsia="pl-PL"/>
        </w:rPr>
        <w:t xml:space="preserve">Terminalu. </w:t>
      </w:r>
    </w:p>
    <w:p w14:paraId="5B68BAEB" w14:textId="77777777" w:rsidR="00E925C1" w:rsidRDefault="00E925C1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bookmarkStart w:id="4" w:name="_Hlk61435136"/>
    </w:p>
    <w:p w14:paraId="4E4D5DB1" w14:textId="021E31CA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§ </w:t>
      </w:r>
      <w:bookmarkEnd w:id="4"/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5</w:t>
      </w:r>
    </w:p>
    <w:p w14:paraId="09103E59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[ZOBOWIĄZANIA OPERATORA – LIMITY PRZEŁADUNKÓW]</w:t>
      </w:r>
    </w:p>
    <w:p w14:paraId="4F349726" w14:textId="3EDE358A" w:rsidR="0040322C" w:rsidRPr="0040322C" w:rsidRDefault="0040322C" w:rsidP="0040322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Operator zobowiązuje się do realizacji zapisów </w:t>
      </w:r>
      <w:bookmarkStart w:id="5" w:name="_Hlk97105869"/>
      <w:r w:rsidRPr="0040322C">
        <w:rPr>
          <w:rFonts w:ascii="Cambria" w:eastAsia="Times New Roman" w:hAnsi="Cambria" w:cs="Times New Roman"/>
          <w:bCs/>
          <w:lang w:eastAsia="pl-PL"/>
        </w:rPr>
        <w:t xml:space="preserve">§ 14 ust. 1 pkt. 2 Umowy Dzierżawy </w:t>
      </w:r>
      <w:bookmarkEnd w:id="5"/>
      <w:r w:rsidRPr="0040322C">
        <w:rPr>
          <w:rFonts w:ascii="Cambria" w:eastAsia="Times New Roman" w:hAnsi="Cambria" w:cs="Times New Roman"/>
          <w:bCs/>
          <w:lang w:eastAsia="pl-PL"/>
        </w:rPr>
        <w:t xml:space="preserve">dotyczących czynszu zmiennego - Przeładunek w </w:t>
      </w:r>
      <w:r w:rsidR="003B6A8E">
        <w:rPr>
          <w:rFonts w:ascii="Cambria" w:eastAsia="Times New Roman" w:hAnsi="Cambria" w:cs="Times New Roman"/>
          <w:bCs/>
          <w:lang w:eastAsia="pl-PL"/>
        </w:rPr>
        <w:t>o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brocie </w:t>
      </w:r>
      <w:r w:rsidR="003B6A8E">
        <w:rPr>
          <w:rFonts w:ascii="Cambria" w:eastAsia="Times New Roman" w:hAnsi="Cambria" w:cs="Times New Roman"/>
          <w:bCs/>
          <w:lang w:eastAsia="pl-PL"/>
        </w:rPr>
        <w:t>p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ortowo </w:t>
      </w:r>
      <w:r w:rsidR="003B6A8E">
        <w:rPr>
          <w:rFonts w:ascii="Cambria" w:eastAsia="Times New Roman" w:hAnsi="Cambria" w:cs="Times New Roman"/>
          <w:bCs/>
          <w:lang w:eastAsia="pl-PL"/>
        </w:rPr>
        <w:t>m</w:t>
      </w:r>
      <w:r w:rsidRPr="0040322C">
        <w:rPr>
          <w:rFonts w:ascii="Cambria" w:eastAsia="Times New Roman" w:hAnsi="Cambria" w:cs="Times New Roman"/>
          <w:bCs/>
          <w:lang w:eastAsia="pl-PL"/>
        </w:rPr>
        <w:t>orskim - w odniesieniu do każdego Okresu rozliczeniowego, w szczególności do:</w:t>
      </w:r>
    </w:p>
    <w:p w14:paraId="2F977D33" w14:textId="1B4C46FD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zapewnienia minimalnej wielkości </w:t>
      </w:r>
      <w:bookmarkStart w:id="6" w:name="_Hlk97105430"/>
      <w:r w:rsidRPr="0040322C">
        <w:rPr>
          <w:rFonts w:ascii="Cambria" w:eastAsia="Times New Roman" w:hAnsi="Cambria" w:cs="Times New Roman"/>
          <w:bCs/>
          <w:lang w:eastAsia="pl-PL"/>
        </w:rPr>
        <w:t>Przeładunków w obrocie portowo morskim</w:t>
      </w:r>
      <w:bookmarkEnd w:id="6"/>
      <w:r w:rsidRPr="0040322C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0322C">
        <w:rPr>
          <w:rFonts w:ascii="Cambria" w:eastAsia="Times New Roman" w:hAnsi="Cambria" w:cs="Times New Roman"/>
          <w:bCs/>
          <w:lang w:eastAsia="pl-PL"/>
        </w:rPr>
        <w:br/>
        <w:t xml:space="preserve">z wykorzystaniem nabrzeży przy których położona jest Nieruchomość na poziomie </w:t>
      </w:r>
      <w:r w:rsidR="00F164D2">
        <w:rPr>
          <w:rFonts w:ascii="Cambria" w:eastAsia="Times New Roman" w:hAnsi="Cambria" w:cs="Times New Roman"/>
          <w:bCs/>
          <w:lang w:eastAsia="pl-PL"/>
        </w:rPr>
        <w:t xml:space="preserve">                     </w:t>
      </w:r>
      <w:r w:rsidRPr="0040322C">
        <w:rPr>
          <w:rFonts w:ascii="Cambria" w:eastAsia="Times New Roman" w:hAnsi="Cambria" w:cs="Times New Roman"/>
          <w:bCs/>
          <w:lang w:eastAsia="pl-PL"/>
        </w:rPr>
        <w:t>co najmniej</w:t>
      </w:r>
      <w:r w:rsidR="00350AAC">
        <w:rPr>
          <w:rFonts w:ascii="Cambria" w:eastAsia="Times New Roman" w:hAnsi="Cambria" w:cs="Times New Roman"/>
          <w:bCs/>
          <w:lang w:eastAsia="pl-PL"/>
        </w:rPr>
        <w:t xml:space="preserve"> 300.000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TEU, zaliczanego do wielkości przeładunków wskazanej </w:t>
      </w:r>
      <w:r w:rsidR="00350AAC">
        <w:rPr>
          <w:rFonts w:ascii="Cambria" w:eastAsia="Times New Roman" w:hAnsi="Cambria" w:cs="Times New Roman"/>
          <w:bCs/>
          <w:lang w:eastAsia="pl-PL"/>
        </w:rPr>
        <w:t xml:space="preserve">                                </w:t>
      </w:r>
      <w:r w:rsidRPr="0040322C">
        <w:rPr>
          <w:rFonts w:ascii="Cambria" w:eastAsia="Times New Roman" w:hAnsi="Cambria" w:cs="Times New Roman"/>
          <w:bCs/>
          <w:lang w:eastAsia="pl-PL"/>
        </w:rPr>
        <w:t>w punkcie 3) niniejszego ustępu;</w:t>
      </w:r>
    </w:p>
    <w:p w14:paraId="61AAD2AF" w14:textId="77271FE1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zapłaty czynszu zmiennego określonego w § 14 ust. 1 pkt. 2</w:t>
      </w:r>
      <w:r w:rsidR="003B6A8E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Umowy Dzierżawy; </w:t>
      </w:r>
    </w:p>
    <w:p w14:paraId="71617683" w14:textId="77777777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zapewnienia minimalnej wielkości przeładunków dokonanych z wykorzystaniem nabrzeży, przy których położona jest Nieruchomość w wysokości 3.000.000 ton. </w:t>
      </w:r>
    </w:p>
    <w:p w14:paraId="430C71DB" w14:textId="20856415" w:rsidR="0040322C" w:rsidRPr="0040322C" w:rsidRDefault="0040322C" w:rsidP="0040322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Spadek przeładunków o 40 i więcej procent w stosunku do </w:t>
      </w:r>
      <w:r w:rsidR="006C4E96" w:rsidRPr="006C4E96">
        <w:rPr>
          <w:rFonts w:ascii="Cambria" w:eastAsia="Times New Roman" w:hAnsi="Cambria" w:cs="Times New Roman"/>
          <w:bCs/>
          <w:lang w:eastAsia="pl-PL"/>
        </w:rPr>
        <w:t>minimaln</w:t>
      </w:r>
      <w:r w:rsidR="006C4E96">
        <w:rPr>
          <w:rFonts w:ascii="Cambria" w:eastAsia="Times New Roman" w:hAnsi="Cambria" w:cs="Times New Roman"/>
          <w:bCs/>
          <w:lang w:eastAsia="pl-PL"/>
        </w:rPr>
        <w:t>ych</w:t>
      </w:r>
      <w:r w:rsidR="006C4E96" w:rsidRPr="006C4E96">
        <w:rPr>
          <w:rFonts w:ascii="Cambria" w:eastAsia="Times New Roman" w:hAnsi="Cambria" w:cs="Times New Roman"/>
          <w:bCs/>
          <w:lang w:eastAsia="pl-PL"/>
        </w:rPr>
        <w:t xml:space="preserve"> roczn</w:t>
      </w:r>
      <w:r w:rsidR="006C4E96">
        <w:rPr>
          <w:rFonts w:ascii="Cambria" w:eastAsia="Times New Roman" w:hAnsi="Cambria" w:cs="Times New Roman"/>
          <w:bCs/>
          <w:lang w:eastAsia="pl-PL"/>
        </w:rPr>
        <w:t>ych</w:t>
      </w:r>
      <w:r w:rsidR="006C4E96" w:rsidRPr="006C4E96">
        <w:rPr>
          <w:rFonts w:ascii="Cambria" w:eastAsia="Times New Roman" w:hAnsi="Cambria" w:cs="Times New Roman"/>
          <w:bCs/>
          <w:lang w:eastAsia="pl-PL"/>
        </w:rPr>
        <w:t xml:space="preserve"> przeładunk</w:t>
      </w:r>
      <w:r w:rsidR="006C4E96">
        <w:rPr>
          <w:rFonts w:ascii="Cambria" w:eastAsia="Times New Roman" w:hAnsi="Cambria" w:cs="Times New Roman"/>
          <w:bCs/>
          <w:lang w:eastAsia="pl-PL"/>
        </w:rPr>
        <w:t>ów</w:t>
      </w:r>
      <w:r w:rsidR="006C4E96" w:rsidRPr="006C4E96">
        <w:rPr>
          <w:rFonts w:ascii="Cambria" w:eastAsia="Times New Roman" w:hAnsi="Cambria" w:cs="Times New Roman"/>
          <w:bCs/>
          <w:lang w:eastAsia="pl-PL"/>
        </w:rPr>
        <w:t xml:space="preserve"> kontenerów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w TEU lub w tonach (ust. 1 punkty: 1) i 3)) w ciągu Okresu rozliczeniowego jest rozumiany jako zaprzestanie działalności i może stanowić podstawę </w:t>
      </w:r>
      <w:r w:rsidR="00F164D2">
        <w:rPr>
          <w:rFonts w:ascii="Cambria" w:eastAsia="Times New Roman" w:hAnsi="Cambria" w:cs="Times New Roman"/>
          <w:bCs/>
          <w:lang w:eastAsia="pl-PL"/>
        </w:rPr>
        <w:t xml:space="preserve">                   </w:t>
      </w:r>
      <w:r w:rsidRPr="0040322C">
        <w:rPr>
          <w:rFonts w:ascii="Cambria" w:eastAsia="Times New Roman" w:hAnsi="Cambria" w:cs="Times New Roman"/>
          <w:bCs/>
          <w:lang w:eastAsia="pl-PL"/>
        </w:rPr>
        <w:t>do rozwiązania Umów, o ile taka będzie decyzja Portu.</w:t>
      </w:r>
    </w:p>
    <w:p w14:paraId="4F78B88C" w14:textId="2AF0CD8E" w:rsidR="0040322C" w:rsidRPr="0040322C" w:rsidRDefault="0040322C" w:rsidP="0040322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Operator będzie zwolniony ze </w:t>
      </w:r>
      <w:bookmarkStart w:id="7" w:name="_Hlk98764222"/>
      <w:r w:rsidRPr="0040322C">
        <w:rPr>
          <w:rFonts w:ascii="Cambria" w:eastAsia="Times New Roman" w:hAnsi="Cambria" w:cs="Times New Roman"/>
          <w:bCs/>
          <w:lang w:eastAsia="pl-PL"/>
        </w:rPr>
        <w:t xml:space="preserve">zobowiązania </w:t>
      </w:r>
      <w:r w:rsidR="006C4E96">
        <w:rPr>
          <w:rFonts w:ascii="Cambria" w:eastAsia="Times New Roman" w:hAnsi="Cambria" w:cs="Times New Roman"/>
          <w:bCs/>
          <w:lang w:eastAsia="pl-PL"/>
        </w:rPr>
        <w:t xml:space="preserve">wykonania </w:t>
      </w:r>
      <w:r w:rsidR="006C4E96" w:rsidRPr="006C4E96">
        <w:rPr>
          <w:rFonts w:ascii="Cambria" w:eastAsia="Times New Roman" w:hAnsi="Cambria" w:cs="Times New Roman"/>
          <w:bCs/>
          <w:lang w:eastAsia="pl-PL"/>
        </w:rPr>
        <w:t>minimalnych rocznych przeładunków kontenerów w TEU</w:t>
      </w:r>
      <w:bookmarkEnd w:id="7"/>
      <w:r w:rsidRPr="0040322C">
        <w:rPr>
          <w:rFonts w:ascii="Cambria" w:eastAsia="Times New Roman" w:hAnsi="Cambria" w:cs="Times New Roman"/>
          <w:bCs/>
          <w:lang w:eastAsia="pl-PL"/>
        </w:rPr>
        <w:t xml:space="preserve">, o którym mowa w ust. 1 pkt. 1) niniejszego paragrafu </w:t>
      </w:r>
      <w:r w:rsidR="00435932">
        <w:rPr>
          <w:rFonts w:ascii="Cambria" w:eastAsia="Times New Roman" w:hAnsi="Cambria" w:cs="Times New Roman"/>
          <w:bCs/>
          <w:lang w:eastAsia="pl-PL"/>
        </w:rPr>
        <w:br/>
      </w:r>
      <w:r w:rsidRPr="0040322C">
        <w:rPr>
          <w:rFonts w:ascii="Cambria" w:eastAsia="Times New Roman" w:hAnsi="Cambria" w:cs="Times New Roman"/>
          <w:bCs/>
          <w:lang w:eastAsia="pl-PL"/>
        </w:rPr>
        <w:t>w następujących przypadkach:</w:t>
      </w:r>
    </w:p>
    <w:p w14:paraId="654CB277" w14:textId="477542BE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wystąpienia Siły Wyższej określonej w </w:t>
      </w:r>
      <w:r w:rsidR="003B6A8E">
        <w:rPr>
          <w:rFonts w:ascii="Cambria" w:eastAsia="Times New Roman" w:hAnsi="Cambria" w:cs="Times New Roman"/>
          <w:bCs/>
          <w:lang w:eastAsia="pl-PL"/>
        </w:rPr>
        <w:t xml:space="preserve">§ </w:t>
      </w:r>
      <w:r w:rsidRPr="0040322C">
        <w:rPr>
          <w:rFonts w:ascii="Cambria" w:eastAsia="Times New Roman" w:hAnsi="Cambria" w:cs="Times New Roman"/>
          <w:bCs/>
          <w:lang w:eastAsia="pl-PL"/>
        </w:rPr>
        <w:t>10 Umowy;</w:t>
      </w:r>
    </w:p>
    <w:p w14:paraId="4A6776BE" w14:textId="77777777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z datą uprawomocnienia się decyzji o pozwoleniu na użytkowanie terminalu kontenerowego Portu Zewnętrznego w Porcie Gdynia;</w:t>
      </w:r>
    </w:p>
    <w:p w14:paraId="7E4325FF" w14:textId="722D5F1F" w:rsidR="0040322C" w:rsidRPr="0040322C" w:rsidRDefault="0040322C" w:rsidP="0040322C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bookmarkStart w:id="8" w:name="_Hlk99102490"/>
      <w:r w:rsidRPr="0040322C">
        <w:rPr>
          <w:rFonts w:ascii="Cambria" w:eastAsia="Times New Roman" w:hAnsi="Cambria" w:cs="Times New Roman"/>
          <w:bCs/>
          <w:lang w:eastAsia="pl-PL"/>
        </w:rPr>
        <w:t xml:space="preserve">wyłączenia, z przyczyn zależnych od Portu, części Nieruchomości z działalności Operatora naruszającej zdolność Operatora do osiągnięcia </w:t>
      </w:r>
      <w:r w:rsidR="00435932" w:rsidRPr="00435932">
        <w:rPr>
          <w:rFonts w:ascii="Cambria" w:eastAsia="Times New Roman" w:hAnsi="Cambria" w:cs="Times New Roman"/>
          <w:bCs/>
          <w:lang w:eastAsia="pl-PL"/>
        </w:rPr>
        <w:t>minimalnych rocznych przeładunków kontenerów w TEU</w:t>
      </w:r>
      <w:r w:rsidR="00261E65">
        <w:rPr>
          <w:rFonts w:ascii="Cambria" w:eastAsia="Times New Roman" w:hAnsi="Cambria" w:cs="Times New Roman"/>
          <w:bCs/>
          <w:lang w:eastAsia="pl-PL"/>
        </w:rPr>
        <w:t>,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a wyłączenie będzie trwało nieprzerwanie</w:t>
      </w:r>
      <w:r w:rsidR="008533E3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0322C">
        <w:rPr>
          <w:rFonts w:ascii="Cambria" w:eastAsia="Times New Roman" w:hAnsi="Cambria" w:cs="Times New Roman"/>
          <w:bCs/>
          <w:lang w:eastAsia="pl-PL"/>
        </w:rPr>
        <w:t>powyżej</w:t>
      </w:r>
      <w:r w:rsidR="008533E3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3 </w:t>
      </w:r>
      <w:r w:rsidR="00350AAC">
        <w:rPr>
          <w:rFonts w:ascii="Cambria" w:eastAsia="Times New Roman" w:hAnsi="Cambria" w:cs="Times New Roman"/>
          <w:bCs/>
          <w:lang w:eastAsia="pl-PL"/>
        </w:rPr>
        <w:t xml:space="preserve">kolejno następujących po sobie </w:t>
      </w:r>
      <w:r w:rsidRPr="0040322C">
        <w:rPr>
          <w:rFonts w:ascii="Cambria" w:eastAsia="Times New Roman" w:hAnsi="Cambria" w:cs="Times New Roman"/>
          <w:bCs/>
          <w:lang w:eastAsia="pl-PL"/>
        </w:rPr>
        <w:t>miesięcy w roku kalendarzowym.</w:t>
      </w:r>
    </w:p>
    <w:bookmarkEnd w:id="8"/>
    <w:p w14:paraId="711592B5" w14:textId="4575C024" w:rsidR="0040322C" w:rsidRPr="0040322C" w:rsidRDefault="0040322C" w:rsidP="0040322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Zwolnienie Operatora ze </w:t>
      </w:r>
      <w:r w:rsidR="00435932" w:rsidRPr="00435932">
        <w:rPr>
          <w:rFonts w:ascii="Cambria" w:eastAsia="Times New Roman" w:hAnsi="Cambria" w:cs="Times New Roman"/>
          <w:bCs/>
          <w:lang w:eastAsia="pl-PL"/>
        </w:rPr>
        <w:t>zobowiązania wykonania minimalnych rocznych przeładunków kontenerów w TEU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nie zw</w:t>
      </w:r>
      <w:r w:rsidR="00435932">
        <w:rPr>
          <w:rFonts w:ascii="Cambria" w:eastAsia="Times New Roman" w:hAnsi="Cambria" w:cs="Times New Roman"/>
          <w:bCs/>
          <w:lang w:eastAsia="pl-PL"/>
        </w:rPr>
        <w:t>alnia Operatora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z zapłaty czynszu zmiennego za każde TEU przeładowane na Terminalu.</w:t>
      </w:r>
    </w:p>
    <w:p w14:paraId="63AA1952" w14:textId="77777777" w:rsidR="0040322C" w:rsidRPr="0040322C" w:rsidRDefault="0040322C" w:rsidP="0040322C">
      <w:pPr>
        <w:spacing w:after="0" w:line="27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bookmarkStart w:id="9" w:name="_Hlk61435282"/>
    </w:p>
    <w:bookmarkEnd w:id="9"/>
    <w:p w14:paraId="0838742A" w14:textId="77777777" w:rsidR="003B6A8E" w:rsidRDefault="003B6A8E">
      <w:pP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 w:type="page"/>
      </w:r>
    </w:p>
    <w:p w14:paraId="0F9A4A77" w14:textId="788E5AA5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 xml:space="preserve">§ 6 </w:t>
      </w:r>
    </w:p>
    <w:p w14:paraId="2D276B62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[OBOWIĄZKI INFORMACYJNE OPERATORA]</w:t>
      </w:r>
    </w:p>
    <w:p w14:paraId="5C4F5243" w14:textId="77777777" w:rsidR="0040322C" w:rsidRPr="0040322C" w:rsidRDefault="0040322C" w:rsidP="0040322C">
      <w:pPr>
        <w:numPr>
          <w:ilvl w:val="0"/>
          <w:numId w:val="9"/>
        </w:numPr>
        <w:spacing w:after="0" w:line="276" w:lineRule="auto"/>
        <w:contextualSpacing/>
        <w:rPr>
          <w:rFonts w:ascii="Cambria" w:eastAsia="Times New Roman" w:hAnsi="Cambria" w:cs="Times New Roman"/>
        </w:rPr>
      </w:pPr>
      <w:r w:rsidRPr="0040322C">
        <w:rPr>
          <w:rFonts w:ascii="Cambria" w:eastAsia="Times New Roman" w:hAnsi="Cambria" w:cs="Times New Roman"/>
        </w:rPr>
        <w:t>Operator zobowiązuje się do:</w:t>
      </w:r>
    </w:p>
    <w:p w14:paraId="6A13AF00" w14:textId="77777777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wprowadzania danych o dokonanych przeładunkach i obsługiwanych statkach bezpośrednio do systemu informatycznego Portu lub, jeżeli taka będzie decyzja Operatora, zintegrowania swojego systemu informatycznego z systemem informatycznym Portu i tym samym automatycznego zasilania danymi systemu informatycznego Portu, zgodnie z zawartym w nim aktualnie układem kodowym ładunków i zakresem danych, w terminie do 72 godzin od zakończonej obsługi statku. Port oświadcza, iż na dzień zawarcia umowy wymaga raportowania niżej wymienionego zbioru danych: </w:t>
      </w:r>
    </w:p>
    <w:p w14:paraId="102D8AF7" w14:textId="77777777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nazwa ładunku i/lub rozmiar kontenera w podziale zgodnym ze standardami ISO,</w:t>
      </w:r>
    </w:p>
    <w:p w14:paraId="3E38D1CA" w14:textId="77777777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wielkość ładunku:</w:t>
      </w:r>
    </w:p>
    <w:p w14:paraId="24D504BB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liczba sztuk;</w:t>
      </w:r>
    </w:p>
    <w:p w14:paraId="1B234550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jednostka ładunkowa;</w:t>
      </w:r>
    </w:p>
    <w:p w14:paraId="3326DD90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tonaż brutto;</w:t>
      </w:r>
    </w:p>
    <w:p w14:paraId="750EAC6F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liczba TEU;</w:t>
      </w:r>
    </w:p>
    <w:p w14:paraId="4EFA1755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kierunek przeładunku (wyładunek / załadunek, w tym</w:t>
      </w:r>
      <w:r w:rsidRPr="0040322C" w:rsidDel="004D5445">
        <w:rPr>
          <w:rFonts w:ascii="Cambria" w:hAnsi="Cambria" w:cs="Times New Roman"/>
        </w:rPr>
        <w:t xml:space="preserve"> </w:t>
      </w:r>
      <w:r w:rsidRPr="0040322C">
        <w:rPr>
          <w:rFonts w:ascii="Cambria" w:hAnsi="Cambria" w:cs="Times New Roman"/>
        </w:rPr>
        <w:t>tranzyt);</w:t>
      </w:r>
    </w:p>
    <w:p w14:paraId="6B5DFF34" w14:textId="77777777" w:rsidR="0040322C" w:rsidRPr="0040322C" w:rsidRDefault="0040322C" w:rsidP="0040322C">
      <w:pPr>
        <w:numPr>
          <w:ilvl w:val="2"/>
          <w:numId w:val="15"/>
        </w:numPr>
        <w:spacing w:line="276" w:lineRule="auto"/>
        <w:ind w:left="1985" w:hanging="567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UNDG, jeżeli dotyczy;</w:t>
      </w:r>
    </w:p>
    <w:p w14:paraId="10145A3D" w14:textId="77777777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nazwa statku oraz numer IMO;</w:t>
      </w:r>
    </w:p>
    <w:p w14:paraId="77D6A2CF" w14:textId="77777777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data i godzina rozpoczęcia przeładunku;</w:t>
      </w:r>
    </w:p>
    <w:p w14:paraId="0030D870" w14:textId="77777777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>data i godzina zakończenia przeładunku;</w:t>
      </w:r>
    </w:p>
    <w:p w14:paraId="6CEBF044" w14:textId="2C2A1D9B" w:rsidR="0040322C" w:rsidRPr="0040322C" w:rsidRDefault="0040322C" w:rsidP="0040322C">
      <w:pPr>
        <w:numPr>
          <w:ilvl w:val="0"/>
          <w:numId w:val="12"/>
        </w:numPr>
        <w:spacing w:line="276" w:lineRule="auto"/>
        <w:ind w:left="1418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dla statków pracujących na przełomie miesiąca – informacja o wielkości przeładunku </w:t>
      </w:r>
      <w:r w:rsidR="005A2061">
        <w:rPr>
          <w:rFonts w:ascii="Cambria" w:hAnsi="Cambria" w:cs="Times New Roman"/>
        </w:rPr>
        <w:t>wykonanego</w:t>
      </w:r>
      <w:r w:rsidRPr="0040322C">
        <w:rPr>
          <w:rFonts w:ascii="Cambria" w:hAnsi="Cambria" w:cs="Times New Roman"/>
        </w:rPr>
        <w:t xml:space="preserve"> do godziny 23:00 ostatniego dnia miesiąca, </w:t>
      </w:r>
      <w:r w:rsidR="005938BE">
        <w:rPr>
          <w:rFonts w:ascii="Cambria" w:hAnsi="Cambria" w:cs="Times New Roman"/>
        </w:rPr>
        <w:br/>
        <w:t xml:space="preserve">w przypadku gdy pozostały przeładunek został </w:t>
      </w:r>
      <w:r w:rsidR="005938BE" w:rsidRPr="0040322C">
        <w:rPr>
          <w:rFonts w:ascii="Cambria" w:hAnsi="Cambria" w:cs="Times New Roman"/>
        </w:rPr>
        <w:t>przypisan</w:t>
      </w:r>
      <w:r w:rsidR="005938BE">
        <w:rPr>
          <w:rFonts w:ascii="Cambria" w:hAnsi="Cambria" w:cs="Times New Roman"/>
        </w:rPr>
        <w:t>y</w:t>
      </w:r>
      <w:r w:rsidRPr="0040322C">
        <w:rPr>
          <w:rFonts w:ascii="Cambria" w:hAnsi="Cambria" w:cs="Times New Roman"/>
        </w:rPr>
        <w:t xml:space="preserve"> do następnego miesiąca;</w:t>
      </w:r>
    </w:p>
    <w:p w14:paraId="326D47A8" w14:textId="0C98FBF1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przekazywania danych statystycznych o dokonanych przeładunkach, </w:t>
      </w:r>
      <w:r w:rsidR="00F179D1">
        <w:rPr>
          <w:rFonts w:ascii="Cambria" w:hAnsi="Cambria" w:cs="Times New Roman"/>
        </w:rPr>
        <w:t xml:space="preserve">                                                </w:t>
      </w:r>
      <w:r w:rsidRPr="0040322C">
        <w:rPr>
          <w:rFonts w:ascii="Cambria" w:hAnsi="Cambria" w:cs="Times New Roman"/>
        </w:rPr>
        <w:t>jak i obsługiwanych statkach, w zakresie w jakim Port zostanie zobligowany do ich gromadzenia oraz raportowania odpowiednimi przepisami prawa lub wymogami instytucji publicznych oraz niezbędnym do wypełniania obowiązków nałożonych ustawowo na Port (np. prognozowanie, programowanie i planowanie rozwoju portu);</w:t>
      </w:r>
    </w:p>
    <w:p w14:paraId="2562CFED" w14:textId="5CC070CC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przekazywania innych danych statystycznych o dokonanych przeładunkach, jak </w:t>
      </w:r>
      <w:r w:rsidRPr="0040322C">
        <w:rPr>
          <w:rFonts w:ascii="Cambria" w:hAnsi="Cambria" w:cs="Times New Roman"/>
        </w:rPr>
        <w:br/>
        <w:t xml:space="preserve">i obsługiwanych statkach, nie wymienionych w niniejszym paragrafie w ust 1. pkt 1) </w:t>
      </w:r>
      <w:r w:rsidR="00865CE9">
        <w:rPr>
          <w:rFonts w:ascii="Cambria" w:hAnsi="Cambria" w:cs="Times New Roman"/>
        </w:rPr>
        <w:br/>
      </w:r>
      <w:r w:rsidRPr="0040322C">
        <w:rPr>
          <w:rFonts w:ascii="Cambria" w:hAnsi="Cambria" w:cs="Times New Roman"/>
        </w:rPr>
        <w:t>i 2) pod warunkiem, że przekazanie takich informacji nie będzie skutkować naruszeniem ochrony poufności informacji pomiędzy Operatorem i jego kontrahentami lub tajemnicy przedsiębiorstwa;</w:t>
      </w:r>
    </w:p>
    <w:p w14:paraId="5ACF6D0B" w14:textId="79CCE14A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przekazywania do Portu zagregowanego zestawienia tabelarycznego obejmującego dane o przeładunkach, jak i obsługiwanych statkach, do 5-go dnia każdego miesiąca </w:t>
      </w:r>
      <w:r w:rsidR="00F179D1">
        <w:rPr>
          <w:rFonts w:ascii="Cambria" w:hAnsi="Cambria" w:cs="Times New Roman"/>
        </w:rPr>
        <w:t xml:space="preserve">                </w:t>
      </w:r>
      <w:r w:rsidRPr="0040322C">
        <w:rPr>
          <w:rFonts w:ascii="Cambria" w:hAnsi="Cambria" w:cs="Times New Roman"/>
        </w:rPr>
        <w:t>za miesiąc poprzedni, w formie zaakceptowanej przez Port;</w:t>
      </w:r>
    </w:p>
    <w:p w14:paraId="629736CE" w14:textId="13ACD622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niezwłocznego udzielenia wyjaśnień w przypadku rozbieżności pomiędzy danymi </w:t>
      </w:r>
      <w:r w:rsidRPr="0040322C">
        <w:rPr>
          <w:rFonts w:ascii="Cambria" w:hAnsi="Cambria" w:cs="Times New Roman"/>
        </w:rPr>
        <w:br/>
        <w:t xml:space="preserve">o dokonanych przeładunkach i obsłużonych statkach, wprowadzanymi do systemu </w:t>
      </w:r>
      <w:r w:rsidR="00F179D1">
        <w:rPr>
          <w:rFonts w:ascii="Cambria" w:hAnsi="Cambria" w:cs="Times New Roman"/>
        </w:rPr>
        <w:t xml:space="preserve">                 </w:t>
      </w:r>
      <w:r w:rsidRPr="0040322C">
        <w:rPr>
          <w:rFonts w:ascii="Cambria" w:hAnsi="Cambria" w:cs="Times New Roman"/>
        </w:rPr>
        <w:t>na bieżąco, a zestawieniami miesięcznymi;</w:t>
      </w:r>
    </w:p>
    <w:p w14:paraId="5E1E67AF" w14:textId="222031A4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t xml:space="preserve">przekazywania do Portu (do działu właściwego ds. fakturowania) informacji o liczbie przeładowanych </w:t>
      </w:r>
      <w:r w:rsidR="004D4F44" w:rsidRPr="0040322C">
        <w:rPr>
          <w:rFonts w:ascii="Cambria" w:hAnsi="Cambria" w:cs="Times New Roman"/>
        </w:rPr>
        <w:t xml:space="preserve">przez Operatora </w:t>
      </w:r>
      <w:r w:rsidRPr="0040322C">
        <w:rPr>
          <w:rFonts w:ascii="Cambria" w:hAnsi="Cambria" w:cs="Times New Roman"/>
        </w:rPr>
        <w:t>kontenerów w sztukach oraz TEU, z uwzględnieniem jego kierunku (wyładunek / załadunek, w tym tranzyt), w danym miesiącu kalendarzowym, w terminie do 10 dnia  miesiąca za miesiąc poprzedni;</w:t>
      </w:r>
    </w:p>
    <w:p w14:paraId="4F7C7F29" w14:textId="481D1E2B" w:rsidR="0040322C" w:rsidRPr="0040322C" w:rsidRDefault="0040322C" w:rsidP="0040322C">
      <w:pPr>
        <w:numPr>
          <w:ilvl w:val="1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40322C">
        <w:rPr>
          <w:rFonts w:ascii="Cambria" w:hAnsi="Cambria" w:cs="Times New Roman"/>
        </w:rPr>
        <w:lastRenderedPageBreak/>
        <w:t>przekazywania do Portu wielkości potencjału przeładunkowego według typów ładunków, mierzonych odpowiednio w tonach oraz TEU, do końca stycznia każdego roku według stanu na dzień 31 grudnia roku poprzedniego lub, w przypadku istotnej inwestycji, również po jej zakończeniu.</w:t>
      </w:r>
    </w:p>
    <w:p w14:paraId="762738E2" w14:textId="77777777" w:rsidR="0040322C" w:rsidRPr="0040322C" w:rsidRDefault="0040322C" w:rsidP="0040322C">
      <w:pPr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="Times New Roman"/>
        </w:rPr>
      </w:pPr>
      <w:bookmarkStart w:id="10" w:name="_Hlk95997477"/>
      <w:r w:rsidRPr="0040322C">
        <w:rPr>
          <w:rFonts w:ascii="Cambria" w:hAnsi="Cambria" w:cs="Times New Roman"/>
        </w:rPr>
        <w:t xml:space="preserve">Operator zapewni Portowi stosowny dostęp do własnych statystyk dostępnych w systemie informatycznym Operatora, dotyczących przeładunków oraz obsługiwanych statków </w:t>
      </w:r>
      <w:r w:rsidRPr="0040322C">
        <w:rPr>
          <w:rFonts w:ascii="Cambria" w:hAnsi="Cambria" w:cs="Times New Roman"/>
        </w:rPr>
        <w:br/>
        <w:t xml:space="preserve">w zakresie wskazanym w ust. 1 niniejszego paragrafu. </w:t>
      </w:r>
      <w:bookmarkEnd w:id="10"/>
    </w:p>
    <w:p w14:paraId="59BE3301" w14:textId="47F44B42" w:rsidR="0040322C" w:rsidRPr="0040322C" w:rsidRDefault="0040322C" w:rsidP="0040322C">
      <w:pPr>
        <w:numPr>
          <w:ilvl w:val="0"/>
          <w:numId w:val="9"/>
        </w:numPr>
        <w:spacing w:line="276" w:lineRule="auto"/>
        <w:contextualSpacing/>
        <w:jc w:val="both"/>
        <w:rPr>
          <w:rFonts w:ascii="Cambria" w:hAnsi="Cambria" w:cs="Times New Roman"/>
          <w:strike/>
        </w:rPr>
      </w:pPr>
      <w:r w:rsidRPr="0040322C">
        <w:rPr>
          <w:rFonts w:ascii="Cambria" w:hAnsi="Cambria" w:cs="Times New Roman"/>
        </w:rPr>
        <w:t>Za naruszenie obowiązków i informacyjnych</w:t>
      </w:r>
      <w:r w:rsidR="004D4F44">
        <w:rPr>
          <w:rFonts w:ascii="Cambria" w:hAnsi="Cambria" w:cs="Times New Roman"/>
        </w:rPr>
        <w:t>,</w:t>
      </w:r>
      <w:r w:rsidRPr="0040322C">
        <w:rPr>
          <w:rFonts w:ascii="Cambria" w:hAnsi="Cambria" w:cs="Times New Roman"/>
        </w:rPr>
        <w:t xml:space="preserve"> o których mowa w ust. 1 niniejszego paragrafu, Port może nałożyć kary umowne określone w § 9</w:t>
      </w:r>
      <w:r w:rsidR="004D4F44">
        <w:rPr>
          <w:rFonts w:ascii="Cambria" w:hAnsi="Cambria" w:cs="Times New Roman"/>
        </w:rPr>
        <w:t xml:space="preserve"> ust. 1 pkt 2)</w:t>
      </w:r>
      <w:r w:rsidRPr="0040322C">
        <w:rPr>
          <w:rFonts w:ascii="Cambria" w:hAnsi="Cambria" w:cs="Times New Roman"/>
        </w:rPr>
        <w:t xml:space="preserve"> Umowy.</w:t>
      </w:r>
    </w:p>
    <w:p w14:paraId="14B0AA12" w14:textId="77777777" w:rsid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0B7A5C5" w14:textId="472294BB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§ 7 </w:t>
      </w:r>
    </w:p>
    <w:p w14:paraId="505F72CC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[INWESTYCJE OPERATORA]</w:t>
      </w:r>
    </w:p>
    <w:p w14:paraId="78C3DC3D" w14:textId="77777777" w:rsidR="0040322C" w:rsidRPr="0040322C" w:rsidRDefault="0040322C" w:rsidP="0040322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Operator zobowiązuje się, że w okresie 20 lat od daty wejścia w życie Umowy zapewni niezbędny minimalny poziom wydatków na rozbudowę dotychczasowego potencjału techniczno-eksploatacyjnego Terminalu, w tym na zwiększenie jego potencjału przeładunkowego poprzez zakup urządzeń, sprzętu, oprogramowania.</w:t>
      </w:r>
    </w:p>
    <w:p w14:paraId="0CE51217" w14:textId="77777777" w:rsidR="0040322C" w:rsidRPr="0040322C" w:rsidRDefault="0040322C" w:rsidP="0040322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Niezbędny minimalny poziom wydatków w okresie 20 lat od daty wejścia w życie Umowy Strony ustalają na kwotę netto 20.000.000,00 (słownie: dwadzieścia milionów) złotych.</w:t>
      </w:r>
    </w:p>
    <w:p w14:paraId="4AF3AEA2" w14:textId="77777777" w:rsidR="0040322C" w:rsidRPr="0040322C" w:rsidRDefault="0040322C" w:rsidP="0040322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W przypadku wcześniejszego rozwiązania Umowy, w przypadkach określonych w § 19 Umowy Dzierżawy, minimalny poziom wydatków liczony będzie proporcjonalnie do okresu trwania umowy. </w:t>
      </w:r>
    </w:p>
    <w:p w14:paraId="017F5220" w14:textId="38F148F6" w:rsidR="0040322C" w:rsidRPr="0040322C" w:rsidRDefault="0040322C" w:rsidP="0040322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W przypadku niewykonania lub niepełnego wykonania przez Operatora zobowiązań, </w:t>
      </w:r>
      <w:r w:rsidRPr="0040322C">
        <w:rPr>
          <w:rFonts w:ascii="Cambria" w:eastAsia="Times New Roman" w:hAnsi="Cambria" w:cs="Times New Roman"/>
          <w:bCs/>
          <w:lang w:eastAsia="pl-PL"/>
        </w:rPr>
        <w:br/>
        <w:t xml:space="preserve">o których mowa w ust. 1 i 2 niniejszego paragrafu, Operator zobowiązuje się do zapłaty </w:t>
      </w:r>
      <w:r w:rsidR="0055780D">
        <w:rPr>
          <w:rFonts w:ascii="Cambria" w:eastAsia="Times New Roman" w:hAnsi="Cambria" w:cs="Times New Roman"/>
          <w:bCs/>
          <w:lang w:eastAsia="pl-PL"/>
        </w:rPr>
        <w:t xml:space="preserve">                           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na rzecz Portu kary umownej w wysokości określonej w </w:t>
      </w:r>
      <w:bookmarkStart w:id="11" w:name="_Hlk97373565"/>
      <w:r w:rsidRPr="0040322C">
        <w:rPr>
          <w:rFonts w:ascii="Cambria" w:eastAsia="Times New Roman" w:hAnsi="Cambria" w:cs="Times New Roman"/>
          <w:bCs/>
          <w:lang w:eastAsia="pl-PL"/>
        </w:rPr>
        <w:t xml:space="preserve">§ 9 ust. 1 pkt </w:t>
      </w:r>
      <w:r w:rsidR="004D4F44">
        <w:rPr>
          <w:rFonts w:ascii="Cambria" w:eastAsia="Times New Roman" w:hAnsi="Cambria" w:cs="Times New Roman"/>
          <w:bCs/>
          <w:lang w:eastAsia="pl-PL"/>
        </w:rPr>
        <w:t>3</w:t>
      </w:r>
      <w:r w:rsidRPr="0040322C">
        <w:rPr>
          <w:rFonts w:ascii="Cambria" w:eastAsia="Times New Roman" w:hAnsi="Cambria" w:cs="Times New Roman"/>
          <w:bCs/>
          <w:lang w:eastAsia="pl-PL"/>
        </w:rPr>
        <w:t>) Umowy</w:t>
      </w:r>
      <w:bookmarkEnd w:id="11"/>
      <w:r w:rsidRPr="0040322C">
        <w:rPr>
          <w:rFonts w:ascii="Cambria" w:eastAsia="Times New Roman" w:hAnsi="Cambria" w:cs="Times New Roman"/>
          <w:bCs/>
          <w:lang w:eastAsia="pl-PL"/>
        </w:rPr>
        <w:t>.</w:t>
      </w:r>
    </w:p>
    <w:p w14:paraId="0C7E3DDD" w14:textId="77777777" w:rsidR="0040322C" w:rsidRPr="0040322C" w:rsidRDefault="0040322C" w:rsidP="0040322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Operator, w terminie do 20 stycznia każdego roku kalendarzowego, będzie przedstawiać Portowi zestawienie wydatków poniesionych na rozbudowę potencjału </w:t>
      </w:r>
      <w:proofErr w:type="spellStart"/>
      <w:r w:rsidRPr="0040322C">
        <w:rPr>
          <w:rFonts w:ascii="Cambria" w:eastAsia="Times New Roman" w:hAnsi="Cambria" w:cs="Times New Roman"/>
          <w:bCs/>
          <w:lang w:eastAsia="pl-PL"/>
        </w:rPr>
        <w:t>techniczno</w:t>
      </w:r>
      <w:proofErr w:type="spellEnd"/>
      <w:r w:rsidRPr="0040322C">
        <w:rPr>
          <w:rFonts w:ascii="Cambria" w:eastAsia="Times New Roman" w:hAnsi="Cambria" w:cs="Times New Roman"/>
          <w:bCs/>
          <w:lang w:eastAsia="pl-PL"/>
        </w:rPr>
        <w:t xml:space="preserve"> – eksploatacyjnego Terminalu a w razie powzięcia przez Port wątpliwości co do zgodności danych,</w:t>
      </w:r>
      <w:r w:rsidRPr="0040322C">
        <w:rPr>
          <w:rFonts w:ascii="Cambria" w:eastAsia="Times New Roman" w:hAnsi="Cambria" w:cs="Times New Roman"/>
          <w:lang w:eastAsia="pl-PL"/>
        </w:rPr>
        <w:t xml:space="preserve"> 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na wniosek Portu, przedstawi niezwłocznie wszelkie dokumenty księgowe potwierdzające dokonane wydatki. </w:t>
      </w:r>
    </w:p>
    <w:p w14:paraId="62180F84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bookmarkStart w:id="12" w:name="_Hlk61437331"/>
    </w:p>
    <w:p w14:paraId="50182430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§ 8</w:t>
      </w:r>
    </w:p>
    <w:p w14:paraId="493136E1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[ZOBOWIĄZANIA PORTU]</w:t>
      </w:r>
    </w:p>
    <w:p w14:paraId="00132FBB" w14:textId="2B274B69" w:rsidR="0040322C" w:rsidRPr="0040322C" w:rsidRDefault="0040322C" w:rsidP="0040322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Aktualny i obowiązujący Atlas dopuszczalnych zanurzeń statków przy nabrzeżach, </w:t>
      </w:r>
      <w:r w:rsidR="0055780D">
        <w:rPr>
          <w:rFonts w:ascii="Cambria" w:eastAsia="Times New Roman" w:hAnsi="Cambria" w:cs="Times New Roman"/>
          <w:lang w:eastAsia="pl-PL"/>
        </w:rPr>
        <w:t xml:space="preserve">                                </w:t>
      </w:r>
      <w:r w:rsidRPr="0040322C">
        <w:rPr>
          <w:rFonts w:ascii="Cambria" w:eastAsia="Times New Roman" w:hAnsi="Cambria" w:cs="Times New Roman"/>
          <w:lang w:eastAsia="pl-PL"/>
        </w:rPr>
        <w:t>przy średnim stanie wody 500 Amsterdam dla Portu Gdynia jest dostępny na stronie internetowej Urzędu Morskiego w Gdyni.</w:t>
      </w:r>
    </w:p>
    <w:p w14:paraId="7B1AD22D" w14:textId="410000A1" w:rsidR="0040322C" w:rsidRPr="0040322C" w:rsidRDefault="0040322C" w:rsidP="0040322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Jeżeli wyniki urzędowego sondażu do celów nawigacyjnych, wykażą spłycenia w stosunku </w:t>
      </w:r>
      <w:r w:rsidR="0055780D">
        <w:rPr>
          <w:rFonts w:ascii="Cambria" w:eastAsia="Times New Roman" w:hAnsi="Cambria" w:cs="Times New Roman"/>
          <w:lang w:eastAsia="pl-PL"/>
        </w:rPr>
        <w:t xml:space="preserve">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do parametrów określonych w ust. 1 niniejszego paragrafu, Port niezwłocznie, ale nie później niż w ciągu 90 dni roboczych od otrzymania informacji o zaistniałym spłyceniu, doprowadzi do przywrócenia dotychczasowych parametrów. Za dzień roboczy rozumie się dzień </w:t>
      </w:r>
      <w:r w:rsidR="0055780D">
        <w:rPr>
          <w:rFonts w:ascii="Cambria" w:eastAsia="Times New Roman" w:hAnsi="Cambria" w:cs="Times New Roman"/>
          <w:lang w:eastAsia="pl-PL"/>
        </w:rPr>
        <w:t xml:space="preserve">        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z dostępem do terenu wykonywania robót, z wyłączeniem sobót, niedziel oraz dni wolnych </w:t>
      </w:r>
      <w:r w:rsidR="0055780D">
        <w:rPr>
          <w:rFonts w:ascii="Cambria" w:eastAsia="Times New Roman" w:hAnsi="Cambria" w:cs="Times New Roman"/>
          <w:lang w:eastAsia="pl-PL"/>
        </w:rPr>
        <w:t xml:space="preserve">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od pracy. </w:t>
      </w:r>
    </w:p>
    <w:p w14:paraId="4EFDFFDC" w14:textId="59EC74A0" w:rsidR="0040322C" w:rsidRPr="0040322C" w:rsidRDefault="0040322C" w:rsidP="0040322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Port w okresie obowiązywania Umowy będzie utrzymywać nabrzeża oraz niezbędną infrastrukturę drogową i kolejową w stanie umożliwiającym ich prawidłową eksploatację, zgodnie z ich przeznaczeniem i obowiązującymi przepisami.</w:t>
      </w:r>
    </w:p>
    <w:p w14:paraId="13F2699A" w14:textId="04694AB5" w:rsidR="0040322C" w:rsidRPr="0040322C" w:rsidRDefault="0040322C" w:rsidP="0040322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Port zastrzega sobie prawo okresowego wyłączenia dostępu do infrastruktury portowej ogólnodostępnej (np. drogi, nabrzeża) w zakresie niezbędnym dla realizacji jego zamierzeń inwestycyjno-remontowych. Port będzie informował Operatora o swoich działaniach w celu </w:t>
      </w:r>
      <w:r w:rsidRPr="0040322C">
        <w:rPr>
          <w:rFonts w:ascii="Cambria" w:eastAsia="Times New Roman" w:hAnsi="Cambria" w:cs="Times New Roman"/>
          <w:lang w:eastAsia="pl-PL"/>
        </w:rPr>
        <w:lastRenderedPageBreak/>
        <w:t xml:space="preserve">ograniczenia możliwego negatywnego wpływu okresowego wyłączenia dostępu </w:t>
      </w:r>
      <w:r w:rsidR="00897487">
        <w:rPr>
          <w:rFonts w:ascii="Cambria" w:eastAsia="Times New Roman" w:hAnsi="Cambria" w:cs="Times New Roman"/>
          <w:lang w:eastAsia="pl-PL"/>
        </w:rPr>
        <w:t xml:space="preserve">                      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do infrastruktury na działalność Operatora w Terminalu. Port nie ponosi odpowiedzialności, </w:t>
      </w:r>
      <w:r w:rsidR="00865CE9">
        <w:rPr>
          <w:rFonts w:ascii="Cambria" w:eastAsia="Times New Roman" w:hAnsi="Cambria" w:cs="Times New Roman"/>
          <w:lang w:eastAsia="pl-PL"/>
        </w:rPr>
        <w:br/>
      </w:r>
      <w:r w:rsidRPr="0040322C">
        <w:rPr>
          <w:rFonts w:ascii="Cambria" w:eastAsia="Times New Roman" w:hAnsi="Cambria" w:cs="Times New Roman"/>
          <w:lang w:eastAsia="pl-PL"/>
        </w:rPr>
        <w:t xml:space="preserve">w tym odpowiedzialności finansowej, za ewentualnie utracone korzyści spowodowane wyłączeniem dostępu do infrastruktury. </w:t>
      </w:r>
    </w:p>
    <w:p w14:paraId="55C9E8D3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</w:p>
    <w:p w14:paraId="3DF5CE9E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§ 9</w:t>
      </w:r>
    </w:p>
    <w:p w14:paraId="1A044B08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[KARY UMOWNE]</w:t>
      </w:r>
    </w:p>
    <w:p w14:paraId="31BF3E42" w14:textId="77777777" w:rsidR="0040322C" w:rsidRPr="0040322C" w:rsidRDefault="0040322C" w:rsidP="0040322C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Operator zobowiązuje się do zapłaty na rzecz Portu kar umownych w następujących przypadkach:</w:t>
      </w:r>
    </w:p>
    <w:p w14:paraId="54F19485" w14:textId="77777777" w:rsidR="0040322C" w:rsidRPr="0040322C" w:rsidRDefault="0040322C" w:rsidP="0040322C">
      <w:pPr>
        <w:numPr>
          <w:ilvl w:val="1"/>
          <w:numId w:val="11"/>
        </w:numPr>
        <w:spacing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naruszenia postanowienia określonego w § 4 ust. 1 Umowy - do zapłaty na rzecz Portu kary umownej w wysokości 50.000,00 (pięćdziesiąt tysięcy) złotych za każdą nieuzasadnioną odmowę świadczenia usług przeładunkowych;</w:t>
      </w:r>
    </w:p>
    <w:p w14:paraId="52DB89D5" w14:textId="0C80F856" w:rsidR="0040322C" w:rsidRPr="0040322C" w:rsidRDefault="0040322C" w:rsidP="0040322C">
      <w:pPr>
        <w:numPr>
          <w:ilvl w:val="1"/>
          <w:numId w:val="11"/>
        </w:numPr>
        <w:spacing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nie wywiązania się ze zobowiązań informacyjnych, o których mowa w § 6 ust. 1 Umowy, z wyłączeniem pkt 3) tego ustępu, </w:t>
      </w:r>
      <w:r w:rsidRPr="0040322C">
        <w:rPr>
          <w:rFonts w:ascii="Cambria" w:hAnsi="Cambria" w:cs="Times New Roman"/>
        </w:rPr>
        <w:t xml:space="preserve">Port zastrzega sobie prawo nałożenia </w:t>
      </w:r>
      <w:r w:rsidR="00897487">
        <w:rPr>
          <w:rFonts w:ascii="Cambria" w:hAnsi="Cambria" w:cs="Times New Roman"/>
        </w:rPr>
        <w:t xml:space="preserve">                     </w:t>
      </w:r>
      <w:r w:rsidRPr="0040322C">
        <w:rPr>
          <w:rFonts w:ascii="Cambria" w:hAnsi="Cambria" w:cs="Times New Roman"/>
        </w:rPr>
        <w:t xml:space="preserve">kar umownych w wysokości 10.000,00 (słownie: dziesięć tysięcy) złotych za każde zdarzenie i 1.000,00 (słownie: jeden tysiąc) złotych za każdy dzień opóźnienia </w:t>
      </w:r>
      <w:r w:rsidRPr="0040322C">
        <w:rPr>
          <w:rFonts w:ascii="Cambria" w:hAnsi="Cambria" w:cs="Times New Roman"/>
        </w:rPr>
        <w:br/>
        <w:t>w wypełnieniu obowiązku informacyjnego;</w:t>
      </w:r>
    </w:p>
    <w:p w14:paraId="4B439036" w14:textId="77777777" w:rsidR="0040322C" w:rsidRPr="0040322C" w:rsidRDefault="0040322C" w:rsidP="0040322C">
      <w:pPr>
        <w:numPr>
          <w:ilvl w:val="1"/>
          <w:numId w:val="11"/>
        </w:numPr>
        <w:spacing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nie wywiązania się ze zobowiązania, o którym mowa w § 7 ust. 2 Umowy - w wysokości różnicy pomiędzy kwotą wydatków, do poniesienia których Operator był zobowiązany w przywołanym przepisie a kwotą wydatków faktycznie poniesionych przez Operatora  na rozbudowę potencjału techniczno-eksploatacyjnego Terminalu. </w:t>
      </w:r>
    </w:p>
    <w:p w14:paraId="7A004DAB" w14:textId="77777777" w:rsidR="0040322C" w:rsidRPr="0040322C" w:rsidRDefault="0040322C" w:rsidP="0040322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W przypadku stwierdzenia przez Port zaistnienia zdarzenia skutkującego powstaniem obowiązku zapłaty przez Operatora kar umownych przewidzianych w Umowie, Port obliczy wysokość kar umownych, jakie powinien uiścić Operator i przedłoży mu stosowne wezwanie do zapłaty a Operator zobowiązuje się uiścić tak ustalone kary umowne najpóźniej w terminie 30 dni od dnia doręczenia pisemnego wezwania do zapłaty. Kwestionowanie przez Operatora zasadności kar umownych nie uchybia możliwości skorzystania przez Port z wniesionych zabezpieczeń, o których mowa w § 18 Umowy Dzierżawy. </w:t>
      </w:r>
    </w:p>
    <w:p w14:paraId="78B08218" w14:textId="77777777" w:rsidR="0040322C" w:rsidRPr="0040322C" w:rsidRDefault="0040322C" w:rsidP="0040322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Port może dochodzić, na zasadach ogólnych, odszkodowania za poniesioną szkodę przenoszącego wysokość kar umownych. </w:t>
      </w:r>
    </w:p>
    <w:p w14:paraId="267BBEFE" w14:textId="77777777" w:rsidR="0040322C" w:rsidRPr="0040322C" w:rsidRDefault="0040322C" w:rsidP="0040322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Port w celu zaspokojenia swoich roszczeń wynikających z niniejszej Umowy jest uprawniony do skorzystania z wniesionych przez Operatora zabezpieczeń, o których mowa w § 18 Umowy Dzierżawy.</w:t>
      </w:r>
    </w:p>
    <w:p w14:paraId="745ADBE1" w14:textId="2980277C" w:rsidR="0040322C" w:rsidRPr="0040322C" w:rsidRDefault="0040322C" w:rsidP="0040322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 xml:space="preserve">W przypadku niewykonania lub nienależytego wykonania Umowy przez Port, Port jest zobowiązany do naprawienia poniesionej przez Operatora szkody rzeczywistej, </w:t>
      </w:r>
      <w:r w:rsidR="00897487">
        <w:rPr>
          <w:rFonts w:ascii="Cambria" w:eastAsia="Times New Roman" w:hAnsi="Cambria" w:cs="Times New Roman"/>
          <w:lang w:eastAsia="pl-PL"/>
        </w:rPr>
        <w:t xml:space="preserve">                                         </w:t>
      </w:r>
      <w:r w:rsidRPr="0040322C">
        <w:rPr>
          <w:rFonts w:ascii="Cambria" w:eastAsia="Times New Roman" w:hAnsi="Cambria" w:cs="Times New Roman"/>
          <w:lang w:eastAsia="pl-PL"/>
        </w:rPr>
        <w:t xml:space="preserve">bez utraconych spodziewanych korzyści. </w:t>
      </w:r>
    </w:p>
    <w:p w14:paraId="5CB23D20" w14:textId="77777777" w:rsidR="0040322C" w:rsidRPr="0040322C" w:rsidRDefault="0040322C" w:rsidP="0040322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Łączna wysokość kar umownych nałożonych na Operatora w danym roku na podstawie Umów nie może przekroczyć 10% czynszu należnego Portowi za dany rok.</w:t>
      </w:r>
    </w:p>
    <w:bookmarkEnd w:id="12"/>
    <w:p w14:paraId="3CDFCE2A" w14:textId="77777777" w:rsidR="0040322C" w:rsidRPr="0040322C" w:rsidRDefault="0040322C" w:rsidP="0040322C">
      <w:pPr>
        <w:spacing w:line="276" w:lineRule="auto"/>
        <w:contextualSpacing/>
        <w:rPr>
          <w:rFonts w:ascii="Cambria" w:eastAsia="Times New Roman" w:hAnsi="Cambria" w:cs="Times New Roman"/>
          <w:b/>
          <w:lang w:eastAsia="pl-PL"/>
        </w:rPr>
      </w:pPr>
    </w:p>
    <w:p w14:paraId="70F4FD6B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10</w:t>
      </w:r>
    </w:p>
    <w:p w14:paraId="01AADBC0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[SIŁA WYŻSZA ] </w:t>
      </w:r>
    </w:p>
    <w:p w14:paraId="12BCFB31" w14:textId="1A6BB6F0" w:rsidR="0040322C" w:rsidRPr="0040322C" w:rsidRDefault="0040322C" w:rsidP="00912FE2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Niewypełnienie bądź częściowe niewypełnienie przez którąkolwiek ze Stron któregokolwiek </w:t>
      </w:r>
      <w:r w:rsidR="00912FE2">
        <w:rPr>
          <w:rFonts w:ascii="Cambria" w:eastAsia="Times New Roman" w:hAnsi="Cambria" w:cs="Times New Roman"/>
          <w:bCs/>
          <w:lang w:eastAsia="pl-PL"/>
        </w:rPr>
        <w:br/>
      </w:r>
      <w:r w:rsidRPr="0040322C">
        <w:rPr>
          <w:rFonts w:ascii="Cambria" w:eastAsia="Times New Roman" w:hAnsi="Cambria" w:cs="Times New Roman"/>
          <w:bCs/>
          <w:lang w:eastAsia="pl-PL"/>
        </w:rPr>
        <w:t>z obowiązków wynikających z Umowy nie stanowi naruszenia jej postanowień, o ile taka niemożność wynikła ze zdarzenia Siły wyższej</w:t>
      </w:r>
      <w:r w:rsidR="00912FE2">
        <w:rPr>
          <w:rFonts w:ascii="Cambria" w:eastAsia="Times New Roman" w:hAnsi="Cambria" w:cs="Times New Roman"/>
          <w:bCs/>
          <w:lang w:eastAsia="pl-PL"/>
        </w:rPr>
        <w:t xml:space="preserve"> w rozumieniu § </w:t>
      </w:r>
      <w:r w:rsidR="00FE5260">
        <w:rPr>
          <w:rFonts w:ascii="Cambria" w:eastAsia="Times New Roman" w:hAnsi="Cambria" w:cs="Times New Roman"/>
          <w:bCs/>
          <w:lang w:eastAsia="pl-PL"/>
        </w:rPr>
        <w:t>28</w:t>
      </w:r>
      <w:r w:rsidR="00912FE2">
        <w:rPr>
          <w:rFonts w:ascii="Cambria" w:eastAsia="Times New Roman" w:hAnsi="Cambria" w:cs="Times New Roman"/>
          <w:bCs/>
          <w:lang w:eastAsia="pl-PL"/>
        </w:rPr>
        <w:t xml:space="preserve"> Umowy Dzierżawy</w:t>
      </w:r>
      <w:r w:rsidRPr="0040322C">
        <w:rPr>
          <w:rFonts w:ascii="Cambria" w:eastAsia="Times New Roman" w:hAnsi="Cambria" w:cs="Times New Roman"/>
          <w:bCs/>
          <w:lang w:eastAsia="pl-PL"/>
        </w:rPr>
        <w:t>.</w:t>
      </w:r>
    </w:p>
    <w:p w14:paraId="756E9442" w14:textId="77777777" w:rsidR="00912FE2" w:rsidRDefault="00912FE2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2895AC6" w14:textId="2E3AA0EA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11</w:t>
      </w:r>
    </w:p>
    <w:p w14:paraId="7A6C37B1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[POZOSTAŁE POSTANOWIENIA]</w:t>
      </w:r>
    </w:p>
    <w:p w14:paraId="24A1725F" w14:textId="77777777" w:rsidR="0040322C" w:rsidRPr="0040322C" w:rsidRDefault="0040322C" w:rsidP="0040322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lastRenderedPageBreak/>
        <w:t>Port informuje, że może świadczyć na rzecz Operatora usługi związane z korzystaniem przez Operatora z elementów infrastruktury Portu w zakresie:</w:t>
      </w:r>
    </w:p>
    <w:p w14:paraId="60AD5DBB" w14:textId="77777777" w:rsidR="0040322C" w:rsidRPr="0040322C" w:rsidRDefault="0040322C" w:rsidP="0040322C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energii elektrycznej;</w:t>
      </w:r>
    </w:p>
    <w:p w14:paraId="75F1CA1D" w14:textId="77777777" w:rsidR="0040322C" w:rsidRPr="0040322C" w:rsidRDefault="0040322C" w:rsidP="0040322C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c.o.;</w:t>
      </w:r>
    </w:p>
    <w:p w14:paraId="57E3AC0D" w14:textId="77777777" w:rsidR="0040322C" w:rsidRPr="0040322C" w:rsidRDefault="0040322C" w:rsidP="0040322C">
      <w:pPr>
        <w:numPr>
          <w:ilvl w:val="1"/>
          <w:numId w:val="6"/>
        </w:numPr>
        <w:spacing w:after="0" w:line="276" w:lineRule="auto"/>
        <w:ind w:left="993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wody i odprowadzania ścieków;</w:t>
      </w:r>
    </w:p>
    <w:p w14:paraId="544C4FC1" w14:textId="77777777" w:rsidR="0040322C" w:rsidRPr="0040322C" w:rsidRDefault="0040322C" w:rsidP="0040322C">
      <w:pPr>
        <w:numPr>
          <w:ilvl w:val="1"/>
          <w:numId w:val="6"/>
        </w:numPr>
        <w:spacing w:after="0" w:line="276" w:lineRule="auto"/>
        <w:ind w:left="993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usług telekomunikacyjnych;</w:t>
      </w:r>
    </w:p>
    <w:p w14:paraId="0E9C8193" w14:textId="77777777" w:rsidR="0040322C" w:rsidRPr="0040322C" w:rsidRDefault="0040322C" w:rsidP="0040322C">
      <w:pPr>
        <w:numPr>
          <w:ilvl w:val="1"/>
          <w:numId w:val="6"/>
        </w:numPr>
        <w:spacing w:after="0" w:line="276" w:lineRule="auto"/>
        <w:ind w:left="993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usług informatycznych.</w:t>
      </w:r>
    </w:p>
    <w:p w14:paraId="25238B71" w14:textId="14B3230D" w:rsidR="0040322C" w:rsidRPr="0040322C" w:rsidRDefault="0040322C" w:rsidP="0089748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0322C">
        <w:rPr>
          <w:rFonts w:ascii="Cambria" w:eastAsia="Times New Roman" w:hAnsi="Cambria" w:cs="Times New Roman"/>
          <w:lang w:eastAsia="pl-PL"/>
        </w:rPr>
        <w:t>Szczegółowe zasady świadczenia usług, o których mowa w ust. 1</w:t>
      </w:r>
      <w:r w:rsidR="002D211E">
        <w:rPr>
          <w:rFonts w:ascii="Cambria" w:eastAsia="Times New Roman" w:hAnsi="Cambria" w:cs="Times New Roman"/>
          <w:lang w:eastAsia="pl-PL"/>
        </w:rPr>
        <w:t xml:space="preserve"> niniejszego </w:t>
      </w:r>
      <w:r w:rsidR="000C1B12">
        <w:rPr>
          <w:rFonts w:ascii="Cambria" w:eastAsia="Times New Roman" w:hAnsi="Cambria" w:cs="Times New Roman"/>
          <w:lang w:eastAsia="pl-PL"/>
        </w:rPr>
        <w:t>paragrafu</w:t>
      </w:r>
      <w:r w:rsidRPr="0040322C">
        <w:rPr>
          <w:rFonts w:ascii="Cambria" w:eastAsia="Times New Roman" w:hAnsi="Cambria" w:cs="Times New Roman"/>
          <w:lang w:eastAsia="pl-PL"/>
        </w:rPr>
        <w:t xml:space="preserve"> regulują odrębne umowy.</w:t>
      </w:r>
    </w:p>
    <w:p w14:paraId="5FA939E0" w14:textId="77777777" w:rsidR="0040322C" w:rsidRPr="0040322C" w:rsidRDefault="0040322C" w:rsidP="0040322C">
      <w:pPr>
        <w:spacing w:line="276" w:lineRule="auto"/>
        <w:contextualSpacing/>
        <w:rPr>
          <w:rFonts w:ascii="Cambria" w:eastAsia="Times New Roman" w:hAnsi="Cambria" w:cs="Times New Roman"/>
          <w:b/>
          <w:lang w:eastAsia="pl-PL"/>
        </w:rPr>
      </w:pPr>
    </w:p>
    <w:p w14:paraId="7A1E3FAE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12</w:t>
      </w:r>
    </w:p>
    <w:p w14:paraId="757DF955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[PRZENIESIENIE PRAW I OBOWIĄZKÓW]</w:t>
      </w:r>
    </w:p>
    <w:p w14:paraId="7CD32D48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Operator nie ma prawa przenieść swoich praw i obowiązków wynikających z niniejszej Umowy na osobę trzecią, bez uprzedniej pisemnej zgody Portu.</w:t>
      </w:r>
    </w:p>
    <w:p w14:paraId="4C7D29A7" w14:textId="77777777" w:rsidR="0040322C" w:rsidRPr="0040322C" w:rsidRDefault="0040322C" w:rsidP="0040322C">
      <w:pPr>
        <w:spacing w:line="276" w:lineRule="auto"/>
        <w:contextualSpacing/>
        <w:rPr>
          <w:rFonts w:ascii="Cambria" w:eastAsia="Times New Roman" w:hAnsi="Cambria" w:cs="Times New Roman"/>
          <w:b/>
          <w:lang w:eastAsia="pl-PL"/>
        </w:rPr>
      </w:pPr>
    </w:p>
    <w:p w14:paraId="78B3C74D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13</w:t>
      </w:r>
    </w:p>
    <w:p w14:paraId="23F1DACC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FE5260">
        <w:rPr>
          <w:rFonts w:ascii="Cambria" w:eastAsia="Times New Roman" w:hAnsi="Cambria" w:cs="Times New Roman"/>
          <w:b/>
          <w:sz w:val="18"/>
          <w:szCs w:val="18"/>
          <w:lang w:eastAsia="pl-PL"/>
        </w:rPr>
        <w:t>[ZACHOWANIE POUFNOŚCI]</w:t>
      </w:r>
    </w:p>
    <w:p w14:paraId="10638779" w14:textId="77777777" w:rsidR="0040322C" w:rsidRPr="0040322C" w:rsidRDefault="0040322C" w:rsidP="0040322C">
      <w:p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  <w:r w:rsidRPr="002D211E">
        <w:rPr>
          <w:rFonts w:ascii="Cambria" w:eastAsia="Times New Roman" w:hAnsi="Cambria" w:cs="Times New Roman"/>
          <w:lang w:eastAsia="pl-PL"/>
        </w:rPr>
        <w:t>Zasady zachowania poufności reguluje odrębna umowa.</w:t>
      </w:r>
    </w:p>
    <w:p w14:paraId="5550EBBF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C70E078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322C">
        <w:rPr>
          <w:rFonts w:ascii="Cambria" w:eastAsia="Times New Roman" w:hAnsi="Cambria" w:cs="Times New Roman"/>
          <w:b/>
          <w:sz w:val="20"/>
          <w:szCs w:val="20"/>
          <w:lang w:eastAsia="pl-PL"/>
        </w:rPr>
        <w:t>§ 14</w:t>
      </w:r>
    </w:p>
    <w:p w14:paraId="31602C84" w14:textId="77777777" w:rsidR="0040322C" w:rsidRPr="0040322C" w:rsidRDefault="0040322C" w:rsidP="0040322C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Times New Roman" w:hAnsi="Cambria" w:cs="Times New Roman"/>
          <w:b/>
          <w:sz w:val="18"/>
          <w:szCs w:val="18"/>
          <w:lang w:eastAsia="pl-PL"/>
        </w:rPr>
        <w:t>[OCHRONA DANYCH OSOBOWYCH]</w:t>
      </w:r>
    </w:p>
    <w:p w14:paraId="5198A463" w14:textId="77777777" w:rsidR="0040322C" w:rsidRPr="0040322C" w:rsidRDefault="0040322C" w:rsidP="0040322C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Port,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przetwarzał przekazane przez Operatora dane osobowe jego reprezentantów i/lub pełnomocników, osób wyznaczonych do kontaktu oraz osób upoważnionych przez niego do podpisywania wszelkich oświadczeń w imieniu i na rzecz Operatora, a związanych z realizacja Umowy, w celu i w zakresie niezbędnym dla jej prawidłowej realizacji.</w:t>
      </w:r>
    </w:p>
    <w:p w14:paraId="67E73B09" w14:textId="77777777" w:rsidR="0040322C" w:rsidRPr="0040322C" w:rsidRDefault="0040322C" w:rsidP="0040322C">
      <w:pPr>
        <w:numPr>
          <w:ilvl w:val="0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Operator i/lub osoby go reprezentujące oświadczają, iż zostali poinformowani o tym, że:</w:t>
      </w:r>
    </w:p>
    <w:p w14:paraId="2CD0B6A4" w14:textId="0F940F12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administratorem ich danych osobowych, zwanym dalej „Administratorem” jest </w:t>
      </w:r>
      <w:r w:rsidR="00F8138C">
        <w:rPr>
          <w:rFonts w:ascii="Cambria" w:eastAsia="Times New Roman" w:hAnsi="Cambria" w:cs="Times New Roman"/>
          <w:lang w:eastAsia="pl-PL"/>
        </w:rPr>
        <w:t>Port</w:t>
      </w:r>
      <w:r w:rsidRPr="0040322C">
        <w:rPr>
          <w:rFonts w:ascii="Cambria" w:eastAsia="Times New Roman" w:hAnsi="Cambria" w:cs="Times New Roman"/>
          <w:lang w:eastAsia="pl-PL"/>
        </w:rPr>
        <w:t xml:space="preserve"> mający siedzibę w Gdyni przy ul. Rotterdamskiej 9</w:t>
      </w:r>
      <w:r w:rsidRPr="0040322C">
        <w:rPr>
          <w:rFonts w:ascii="Cambria" w:eastAsia="Times New Roman" w:hAnsi="Cambria" w:cs="Times New Roman"/>
          <w:iCs/>
          <w:lang w:eastAsia="pl-PL"/>
        </w:rPr>
        <w:t>;</w:t>
      </w:r>
    </w:p>
    <w:p w14:paraId="5DFB7A68" w14:textId="6073B519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Administrator wyznaczył Inspektora Ochrony Danych, z którym można skontaktować się pod adresem email: </w:t>
      </w:r>
      <w:hyperlink r:id="rId8" w:history="1">
        <w:r w:rsidRPr="0040322C">
          <w:rPr>
            <w:rFonts w:ascii="Cambria" w:eastAsia="Times New Roman" w:hAnsi="Cambria" w:cs="Times New Roman"/>
            <w:iCs/>
            <w:lang w:eastAsia="pl-PL"/>
          </w:rPr>
          <w:t>iod@port.gdynia.pl</w:t>
        </w:r>
      </w:hyperlink>
      <w:r w:rsidR="00F8138C">
        <w:rPr>
          <w:rFonts w:ascii="Cambria" w:eastAsia="Times New Roman" w:hAnsi="Cambria" w:cs="Times New Roman"/>
          <w:iCs/>
          <w:lang w:eastAsia="pl-PL"/>
        </w:rPr>
        <w:t>.</w:t>
      </w:r>
      <w:r w:rsidR="00F8138C">
        <w:rPr>
          <w:rFonts w:ascii="Cambria" w:eastAsia="Times New Roman" w:hAnsi="Cambria" w:cs="Times New Roman"/>
          <w:iCs/>
          <w:lang w:eastAsia="pl-PL"/>
        </w:rPr>
        <w:tab/>
        <w:t xml:space="preserve"> </w:t>
      </w:r>
    </w:p>
    <w:p w14:paraId="1393D6E7" w14:textId="77777777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wszelkie dane osobowe pozyskane w związku z realizacją Umowy będą przetwarzane na podstawie: </w:t>
      </w:r>
    </w:p>
    <w:p w14:paraId="29A81DB5" w14:textId="77777777" w:rsidR="0040322C" w:rsidRPr="0040322C" w:rsidRDefault="0040322C" w:rsidP="0040322C">
      <w:pPr>
        <w:numPr>
          <w:ilvl w:val="2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art. 6 ust.1 lit. b) RODO - w celu wykonania Umowy;</w:t>
      </w:r>
    </w:p>
    <w:p w14:paraId="31886EAA" w14:textId="77777777" w:rsidR="0040322C" w:rsidRPr="0040322C" w:rsidRDefault="0040322C" w:rsidP="0040322C">
      <w:pPr>
        <w:numPr>
          <w:ilvl w:val="2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art. 6 ust.1 lit. c) RODO - w celu wypełnienia obowiązków prawnych ciążących na Administratorze i w związku z realizacją zawartych umów;</w:t>
      </w:r>
    </w:p>
    <w:p w14:paraId="5A0A354A" w14:textId="7F6C4969" w:rsidR="0040322C" w:rsidRPr="0040322C" w:rsidRDefault="0040322C" w:rsidP="0040322C">
      <w:pPr>
        <w:numPr>
          <w:ilvl w:val="2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art. 6 ust.1 lit f) RODO - w celu weryfikacji danych osobowych w publicznych rejestrach a także zabezpieczenia i dochodzenia ewentualnych roszczeń </w:t>
      </w:r>
      <w:r w:rsidR="002D211E">
        <w:rPr>
          <w:rFonts w:ascii="Cambria" w:eastAsia="Times New Roman" w:hAnsi="Cambria" w:cs="Times New Roman"/>
          <w:iCs/>
          <w:lang w:eastAsia="pl-PL"/>
        </w:rPr>
        <w:br/>
      </w:r>
      <w:r w:rsidRPr="0040322C">
        <w:rPr>
          <w:rFonts w:ascii="Cambria" w:eastAsia="Times New Roman" w:hAnsi="Cambria" w:cs="Times New Roman"/>
          <w:iCs/>
          <w:lang w:eastAsia="pl-PL"/>
        </w:rPr>
        <w:t>z Umowy jako prawnie uzasadnionych interesów realizowanych przez Administratora;</w:t>
      </w:r>
    </w:p>
    <w:p w14:paraId="54AB474D" w14:textId="15E1A1C2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odbiorcami przekazanych danych osobowych będą podmioty i organy, którym Administrator jest zobowiązany lub upoważniony udostępnić dane osobowe </w:t>
      </w:r>
      <w:r w:rsidR="00897487">
        <w:rPr>
          <w:rFonts w:ascii="Cambria" w:eastAsia="Times New Roman" w:hAnsi="Cambria" w:cs="Times New Roman"/>
          <w:iCs/>
          <w:lang w:eastAsia="pl-PL"/>
        </w:rPr>
        <w:t xml:space="preserve">                                 </w:t>
      </w:r>
      <w:r w:rsidRPr="0040322C">
        <w:rPr>
          <w:rFonts w:ascii="Cambria" w:eastAsia="Times New Roman" w:hAnsi="Cambria" w:cs="Times New Roman"/>
          <w:iCs/>
          <w:lang w:eastAsia="pl-PL"/>
        </w:rPr>
        <w:t xml:space="preserve">na podstawie powszechnie obowiązujących przepisów prawa, oraz podmioty, które </w:t>
      </w:r>
      <w:r w:rsidR="00897487">
        <w:rPr>
          <w:rFonts w:ascii="Cambria" w:eastAsia="Times New Roman" w:hAnsi="Cambria" w:cs="Times New Roman"/>
          <w:iCs/>
          <w:lang w:eastAsia="pl-PL"/>
        </w:rPr>
        <w:t xml:space="preserve">                 </w:t>
      </w:r>
      <w:r w:rsidRPr="0040322C">
        <w:rPr>
          <w:rFonts w:ascii="Cambria" w:eastAsia="Times New Roman" w:hAnsi="Cambria" w:cs="Times New Roman"/>
          <w:iCs/>
          <w:lang w:eastAsia="pl-PL"/>
        </w:rPr>
        <w:t xml:space="preserve">na podstawie stosownych umów przetwarzają dane osobowe powierzone </w:t>
      </w:r>
      <w:r w:rsidR="00897487">
        <w:rPr>
          <w:rFonts w:ascii="Cambria" w:eastAsia="Times New Roman" w:hAnsi="Cambria" w:cs="Times New Roman"/>
          <w:iCs/>
          <w:lang w:eastAsia="pl-PL"/>
        </w:rPr>
        <w:t xml:space="preserve">                                     </w:t>
      </w:r>
      <w:r w:rsidRPr="0040322C">
        <w:rPr>
          <w:rFonts w:ascii="Cambria" w:eastAsia="Times New Roman" w:hAnsi="Cambria" w:cs="Times New Roman"/>
          <w:iCs/>
          <w:lang w:eastAsia="pl-PL"/>
        </w:rPr>
        <w:lastRenderedPageBreak/>
        <w:t>do przetwarzania przez Administratora w związku z realizacją usług gwarantujących należyte wykonanie Umowy;</w:t>
      </w:r>
    </w:p>
    <w:p w14:paraId="49DB32A2" w14:textId="77777777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dane osobowe będą przechowywane przez okres niezbędny do realizacji warunków Umowy, a po tym czasie przez okres oraz w zakresie wymaganym przez przepisy prawa powszechnie obowiązującego lub dla zabezpieczenia i dochodzenia ewentualnych roszczeń;</w:t>
      </w:r>
    </w:p>
    <w:p w14:paraId="79324CA3" w14:textId="784935A8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osobom, których dane dotyczą przysługuje prawo dostępu do ww. danych osobowych, ich sprostowania, usunięcia lub ograniczenia przetwarzania, prawo wniesienia sprzeciwu wobec przetwarzania danych, na zasadach i warunkach wynikających </w:t>
      </w:r>
      <w:r w:rsidR="002D211E">
        <w:rPr>
          <w:rFonts w:ascii="Cambria" w:eastAsia="Times New Roman" w:hAnsi="Cambria" w:cs="Times New Roman"/>
          <w:iCs/>
          <w:lang w:eastAsia="pl-PL"/>
        </w:rPr>
        <w:br/>
      </w:r>
      <w:r w:rsidRPr="0040322C">
        <w:rPr>
          <w:rFonts w:ascii="Cambria" w:eastAsia="Times New Roman" w:hAnsi="Cambria" w:cs="Times New Roman"/>
          <w:iCs/>
          <w:lang w:eastAsia="pl-PL"/>
        </w:rPr>
        <w:t>z RODO;</w:t>
      </w:r>
    </w:p>
    <w:p w14:paraId="19B2F69D" w14:textId="77777777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osobom, których dane dotyczą przysługuje prawo wniesienia skargi do organu nadzorczego, na terytorium RP organem tym jest Prezes Urzędu Ochrony Danych Osobowych;</w:t>
      </w:r>
    </w:p>
    <w:p w14:paraId="01ABA002" w14:textId="77777777" w:rsidR="0040322C" w:rsidRPr="0040322C" w:rsidRDefault="0040322C" w:rsidP="0040322C">
      <w:pPr>
        <w:numPr>
          <w:ilvl w:val="1"/>
          <w:numId w:val="7"/>
        </w:numPr>
        <w:spacing w:before="120" w:after="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>podanie danych osobowych jest dobrowolne, jednakże odmowa podania danych może skutkować odmową zawarcia Umowy.</w:t>
      </w:r>
    </w:p>
    <w:p w14:paraId="30261E55" w14:textId="7C270592" w:rsidR="0040322C" w:rsidRPr="0040322C" w:rsidRDefault="0040322C" w:rsidP="0040322C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="Cambria" w:eastAsia="Times New Roman" w:hAnsi="Cambria" w:cs="Times New Roman"/>
          <w:iCs/>
          <w:lang w:eastAsia="pl-PL"/>
        </w:rPr>
      </w:pPr>
      <w:r w:rsidRPr="0040322C">
        <w:rPr>
          <w:rFonts w:ascii="Cambria" w:eastAsia="Times New Roman" w:hAnsi="Cambria" w:cs="Times New Roman"/>
          <w:iCs/>
          <w:lang w:eastAsia="pl-PL"/>
        </w:rPr>
        <w:t xml:space="preserve">Operator zobowiązuje się do przekazania w imieniu Portu wszystkim osobom wskazanym </w:t>
      </w:r>
      <w:r w:rsidR="002D211E">
        <w:rPr>
          <w:rFonts w:ascii="Cambria" w:eastAsia="Times New Roman" w:hAnsi="Cambria" w:cs="Times New Roman"/>
          <w:iCs/>
          <w:lang w:eastAsia="pl-PL"/>
        </w:rPr>
        <w:br/>
      </w:r>
      <w:r w:rsidRPr="0040322C">
        <w:rPr>
          <w:rFonts w:ascii="Cambria" w:eastAsia="Times New Roman" w:hAnsi="Cambria" w:cs="Times New Roman"/>
          <w:iCs/>
          <w:lang w:eastAsia="pl-PL"/>
        </w:rPr>
        <w:t>w ust.</w:t>
      </w:r>
      <w:r w:rsidR="00405DF1"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E925C1">
        <w:rPr>
          <w:rFonts w:ascii="Cambria" w:eastAsia="Times New Roman" w:hAnsi="Cambria" w:cs="Times New Roman"/>
          <w:iCs/>
          <w:lang w:eastAsia="pl-PL"/>
        </w:rPr>
        <w:t>1</w:t>
      </w:r>
      <w:r w:rsidRPr="0040322C">
        <w:rPr>
          <w:rFonts w:ascii="Cambria" w:eastAsia="Times New Roman" w:hAnsi="Cambria" w:cs="Times New Roman"/>
          <w:iCs/>
          <w:lang w:eastAsia="pl-PL"/>
        </w:rPr>
        <w:t>, których dane osobowe udostępni Port</w:t>
      </w:r>
      <w:r w:rsidR="00405DF1">
        <w:rPr>
          <w:rFonts w:ascii="Cambria" w:eastAsia="Times New Roman" w:hAnsi="Cambria" w:cs="Times New Roman"/>
          <w:iCs/>
          <w:lang w:eastAsia="pl-PL"/>
        </w:rPr>
        <w:t>owi</w:t>
      </w:r>
      <w:r w:rsidRPr="0040322C">
        <w:rPr>
          <w:rFonts w:ascii="Cambria" w:eastAsia="Times New Roman" w:hAnsi="Cambria" w:cs="Times New Roman"/>
          <w:iCs/>
          <w:lang w:eastAsia="pl-PL"/>
        </w:rPr>
        <w:t xml:space="preserve"> w związku z realizacją Umowy, informacji, </w:t>
      </w:r>
      <w:r w:rsidR="002D211E">
        <w:rPr>
          <w:rFonts w:ascii="Cambria" w:eastAsia="Times New Roman" w:hAnsi="Cambria" w:cs="Times New Roman"/>
          <w:iCs/>
          <w:lang w:eastAsia="pl-PL"/>
        </w:rPr>
        <w:br/>
      </w:r>
      <w:r w:rsidRPr="0040322C">
        <w:rPr>
          <w:rFonts w:ascii="Cambria" w:eastAsia="Times New Roman" w:hAnsi="Cambria" w:cs="Times New Roman"/>
          <w:iCs/>
          <w:lang w:eastAsia="pl-PL"/>
        </w:rPr>
        <w:t>o których mowa w art. 14 RODO, w zakresie analogicznym jak w ust. 2.</w:t>
      </w:r>
    </w:p>
    <w:p w14:paraId="6A2D9ABB" w14:textId="77777777" w:rsidR="0040322C" w:rsidRPr="0040322C" w:rsidRDefault="0040322C" w:rsidP="0040322C">
      <w:p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95EFBE" w14:textId="4003ABFC" w:rsidR="0040322C" w:rsidRPr="0040322C" w:rsidRDefault="0040322C" w:rsidP="0040322C">
      <w:pPr>
        <w:tabs>
          <w:tab w:val="left" w:pos="1134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sz w:val="20"/>
          <w:szCs w:val="20"/>
          <w:lang w:eastAsia="pl-PL"/>
        </w:rPr>
      </w:pPr>
      <w:bookmarkStart w:id="13" w:name="_Hlk98938140"/>
      <w:r w:rsidRPr="0040322C">
        <w:rPr>
          <w:rFonts w:ascii="Cambria" w:eastAsia="Calibri" w:hAnsi="Cambria" w:cs="Times New Roman"/>
          <w:b/>
          <w:sz w:val="20"/>
          <w:szCs w:val="20"/>
          <w:lang w:eastAsia="pl-PL"/>
        </w:rPr>
        <w:t>§ 1</w:t>
      </w:r>
      <w:r w:rsidR="00405DF1">
        <w:rPr>
          <w:rFonts w:ascii="Cambria" w:eastAsia="Calibri" w:hAnsi="Cambria" w:cs="Times New Roman"/>
          <w:b/>
          <w:sz w:val="20"/>
          <w:szCs w:val="20"/>
          <w:lang w:eastAsia="pl-PL"/>
        </w:rPr>
        <w:t>5</w:t>
      </w:r>
    </w:p>
    <w:p w14:paraId="7D1B36DE" w14:textId="77777777" w:rsidR="0040322C" w:rsidRPr="0040322C" w:rsidRDefault="0040322C" w:rsidP="0040322C">
      <w:pPr>
        <w:tabs>
          <w:tab w:val="left" w:pos="1134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  <w:r w:rsidRPr="0040322C">
        <w:rPr>
          <w:rFonts w:ascii="Cambria" w:eastAsia="Calibri" w:hAnsi="Cambria" w:cs="Times New Roman"/>
          <w:b/>
          <w:sz w:val="18"/>
          <w:szCs w:val="18"/>
          <w:lang w:eastAsia="pl-PL"/>
        </w:rPr>
        <w:t>[POSTANOWIENIA KOŃCOWE]</w:t>
      </w:r>
    </w:p>
    <w:p w14:paraId="1814E3C1" w14:textId="749AE947" w:rsidR="0040322C" w:rsidRPr="0040322C" w:rsidRDefault="0040322C" w:rsidP="0040322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Wszelkie zmiany do Umowy wymagają</w:t>
      </w:r>
      <w:r w:rsidR="00C268A2">
        <w:rPr>
          <w:rFonts w:ascii="Cambria" w:eastAsia="Times New Roman" w:hAnsi="Cambria" w:cs="Times New Roman"/>
          <w:bCs/>
          <w:lang w:eastAsia="pl-PL"/>
        </w:rPr>
        <w:t>,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pod rygorem nieważności</w:t>
      </w:r>
      <w:r w:rsidR="00C268A2">
        <w:rPr>
          <w:rFonts w:ascii="Cambria" w:eastAsia="Times New Roman" w:hAnsi="Cambria" w:cs="Times New Roman"/>
          <w:bCs/>
          <w:lang w:eastAsia="pl-PL"/>
        </w:rPr>
        <w:t>,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formy pisemnej </w:t>
      </w:r>
      <w:r w:rsidRPr="0040322C">
        <w:rPr>
          <w:rFonts w:ascii="Cambria" w:eastAsia="Times New Roman" w:hAnsi="Cambria" w:cs="Times New Roman"/>
          <w:bCs/>
          <w:lang w:eastAsia="pl-PL"/>
        </w:rPr>
        <w:br/>
        <w:t>w formie aneksu do Umowy, podpisanego przez upoważnionych przedstawicieli Stron.</w:t>
      </w:r>
    </w:p>
    <w:p w14:paraId="74721563" w14:textId="77777777" w:rsidR="0040322C" w:rsidRPr="0040322C" w:rsidRDefault="0040322C" w:rsidP="0040322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Wszelkie spory lub roszczenia wynikające z Umowy, w tym dotyczące jej naruszenia, odstąpienia, interpretacji lub nieważności, w przypadku niemożności ich rozwiązania przez same Strony, rozstrzygane będą przez sąd powszechny właściwy dla siedziby Portu.</w:t>
      </w:r>
    </w:p>
    <w:p w14:paraId="57AB7298" w14:textId="77777777" w:rsidR="0040322C" w:rsidRPr="0040322C" w:rsidRDefault="0040322C" w:rsidP="0040322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Umowa została sporządzona w języku polskim i podlega prawu polskiemu.</w:t>
      </w:r>
    </w:p>
    <w:p w14:paraId="67582654" w14:textId="77777777" w:rsidR="0040322C" w:rsidRPr="0040322C" w:rsidRDefault="0040322C" w:rsidP="0040322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 xml:space="preserve">Załączniki do Umowy stanowią jej integralną część. </w:t>
      </w:r>
    </w:p>
    <w:p w14:paraId="3BC3610C" w14:textId="72E7BEEB" w:rsidR="0040322C" w:rsidRPr="0040322C" w:rsidRDefault="0040322C" w:rsidP="0040322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40322C">
        <w:rPr>
          <w:rFonts w:ascii="Cambria" w:eastAsia="Times New Roman" w:hAnsi="Cambria" w:cs="Times New Roman"/>
          <w:bCs/>
          <w:lang w:eastAsia="pl-PL"/>
        </w:rPr>
        <w:t>Umowa została sporządzona w dwóch</w:t>
      </w:r>
      <w:r w:rsidR="0099104C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99104C" w:rsidRPr="00B87C4C">
        <w:rPr>
          <w:rFonts w:ascii="Cambria" w:eastAsia="Times New Roman" w:hAnsi="Cambria" w:cs="Times New Roman"/>
          <w:bCs/>
          <w:lang w:eastAsia="pl-PL"/>
        </w:rPr>
        <w:t>jednobrzmiących</w:t>
      </w:r>
      <w:r w:rsidRPr="0040322C">
        <w:rPr>
          <w:rFonts w:ascii="Cambria" w:eastAsia="Times New Roman" w:hAnsi="Cambria" w:cs="Times New Roman"/>
          <w:bCs/>
          <w:lang w:eastAsia="pl-PL"/>
        </w:rPr>
        <w:t xml:space="preserve"> egzemplarzach, po jednym egzemplarzu dla każdej Strony.</w:t>
      </w:r>
    </w:p>
    <w:bookmarkEnd w:id="13"/>
    <w:p w14:paraId="516EDEDA" w14:textId="77777777" w:rsidR="0040322C" w:rsidRPr="0040322C" w:rsidRDefault="0040322C" w:rsidP="0040322C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69657D5" w14:textId="77777777" w:rsidR="0040322C" w:rsidRPr="0040322C" w:rsidRDefault="0040322C" w:rsidP="0040322C">
      <w:pPr>
        <w:spacing w:after="0" w:line="276" w:lineRule="auto"/>
        <w:ind w:left="360"/>
        <w:contextualSpacing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322C" w:rsidRPr="0040322C" w14:paraId="715ED570" w14:textId="77777777" w:rsidTr="00BD206E">
        <w:trPr>
          <w:jc w:val="center"/>
        </w:trPr>
        <w:tc>
          <w:tcPr>
            <w:tcW w:w="3020" w:type="dxa"/>
          </w:tcPr>
          <w:p w14:paraId="00B484F0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5C96B9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30EFF25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0322C" w:rsidRPr="0040322C" w14:paraId="2ACED4E3" w14:textId="77777777" w:rsidTr="00BD206E">
        <w:trPr>
          <w:jc w:val="center"/>
        </w:trPr>
        <w:tc>
          <w:tcPr>
            <w:tcW w:w="3020" w:type="dxa"/>
          </w:tcPr>
          <w:p w14:paraId="5E2F2B94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2A7A5B4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48CDB89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0322C" w:rsidRPr="0040322C" w14:paraId="431E3B87" w14:textId="77777777" w:rsidTr="00BD206E">
        <w:trPr>
          <w:jc w:val="center"/>
        </w:trPr>
        <w:tc>
          <w:tcPr>
            <w:tcW w:w="3020" w:type="dxa"/>
          </w:tcPr>
          <w:p w14:paraId="5BC9D231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89197D0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479E3A0" w14:textId="77777777" w:rsidR="0040322C" w:rsidRPr="0040322C" w:rsidRDefault="0040322C" w:rsidP="0040322C">
            <w:pPr>
              <w:spacing w:line="276" w:lineRule="auto"/>
              <w:contextualSpacing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0322C" w:rsidRPr="0040322C" w14:paraId="492E7535" w14:textId="77777777" w:rsidTr="00BD206E">
        <w:trPr>
          <w:jc w:val="center"/>
        </w:trPr>
        <w:tc>
          <w:tcPr>
            <w:tcW w:w="3020" w:type="dxa"/>
            <w:vAlign w:val="center"/>
          </w:tcPr>
          <w:p w14:paraId="79DE920A" w14:textId="77777777" w:rsidR="0040322C" w:rsidRPr="0040322C" w:rsidRDefault="0040322C" w:rsidP="0040322C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40322C">
              <w:rPr>
                <w:rFonts w:ascii="Cambria" w:eastAsia="Times New Roman" w:hAnsi="Cambria" w:cs="Times New Roman"/>
                <w:b/>
                <w:i/>
                <w:iCs/>
                <w:sz w:val="18"/>
                <w:szCs w:val="18"/>
                <w:lang w:eastAsia="pl-PL"/>
              </w:rPr>
              <w:t>PORT</w:t>
            </w:r>
          </w:p>
        </w:tc>
        <w:tc>
          <w:tcPr>
            <w:tcW w:w="3021" w:type="dxa"/>
            <w:vAlign w:val="center"/>
          </w:tcPr>
          <w:p w14:paraId="6A958E54" w14:textId="77777777" w:rsidR="0040322C" w:rsidRPr="0040322C" w:rsidRDefault="0040322C" w:rsidP="0040322C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068220BC" w14:textId="77777777" w:rsidR="0040322C" w:rsidRPr="0040322C" w:rsidRDefault="0040322C" w:rsidP="0040322C">
            <w:pPr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40322C">
              <w:rPr>
                <w:rFonts w:ascii="Cambria" w:eastAsia="Times New Roman" w:hAnsi="Cambria" w:cs="Times New Roman"/>
                <w:b/>
                <w:i/>
                <w:iCs/>
                <w:sz w:val="18"/>
                <w:szCs w:val="18"/>
                <w:lang w:eastAsia="pl-PL"/>
              </w:rPr>
              <w:t>OPERATOR</w:t>
            </w:r>
          </w:p>
        </w:tc>
      </w:tr>
    </w:tbl>
    <w:p w14:paraId="165352D7" w14:textId="77777777" w:rsidR="0040322C" w:rsidRPr="0040322C" w:rsidRDefault="0040322C" w:rsidP="0040322C">
      <w:pPr>
        <w:spacing w:after="0" w:line="276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bookmarkEnd w:id="0"/>
    <w:p w14:paraId="159DBAC1" w14:textId="0036CC0F" w:rsidR="0040322C" w:rsidRDefault="0040322C" w:rsidP="0040322C">
      <w:pPr>
        <w:spacing w:line="276" w:lineRule="auto"/>
        <w:contextualSpacing/>
        <w:rPr>
          <w:rFonts w:ascii="Cambria" w:hAnsi="Cambria"/>
        </w:rPr>
      </w:pPr>
    </w:p>
    <w:p w14:paraId="513F0915" w14:textId="7A4C415A" w:rsidR="004B00A9" w:rsidRDefault="004B00A9" w:rsidP="0040322C">
      <w:pPr>
        <w:spacing w:line="276" w:lineRule="auto"/>
        <w:contextualSpacing/>
        <w:rPr>
          <w:rFonts w:ascii="Cambria" w:hAnsi="Cambria"/>
        </w:rPr>
      </w:pPr>
    </w:p>
    <w:p w14:paraId="5A742283" w14:textId="345CEF81" w:rsidR="004B00A9" w:rsidRDefault="004B00A9" w:rsidP="0040322C">
      <w:pPr>
        <w:spacing w:line="276" w:lineRule="auto"/>
        <w:contextualSpacing/>
        <w:rPr>
          <w:rFonts w:ascii="Cambria" w:hAnsi="Cambria"/>
        </w:rPr>
      </w:pPr>
    </w:p>
    <w:p w14:paraId="6C5D01A0" w14:textId="77777777" w:rsidR="004B00A9" w:rsidRDefault="004B00A9" w:rsidP="0040322C">
      <w:pPr>
        <w:spacing w:line="276" w:lineRule="auto"/>
        <w:contextualSpacing/>
        <w:rPr>
          <w:rFonts w:ascii="Cambria" w:hAnsi="Cambria"/>
        </w:rPr>
      </w:pPr>
    </w:p>
    <w:p w14:paraId="75EB0B4D" w14:textId="3F04B1FA" w:rsidR="00F8138C" w:rsidRPr="00F8138C" w:rsidRDefault="00F8138C" w:rsidP="0040322C">
      <w:pPr>
        <w:spacing w:line="276" w:lineRule="auto"/>
        <w:contextualSpacing/>
        <w:rPr>
          <w:rFonts w:ascii="Cambria" w:hAnsi="Cambria"/>
          <w:i/>
          <w:iCs/>
          <w:sz w:val="20"/>
          <w:szCs w:val="20"/>
        </w:rPr>
      </w:pPr>
      <w:r w:rsidRPr="00F8138C">
        <w:rPr>
          <w:rFonts w:ascii="Cambria" w:hAnsi="Cambria"/>
          <w:i/>
          <w:iCs/>
          <w:sz w:val="20"/>
          <w:szCs w:val="20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D7C76" w:rsidRPr="00F8138C" w14:paraId="608AD6F0" w14:textId="77777777" w:rsidTr="00F8138C">
        <w:tc>
          <w:tcPr>
            <w:tcW w:w="1413" w:type="dxa"/>
          </w:tcPr>
          <w:p w14:paraId="087258AC" w14:textId="1082398D" w:rsidR="008D7C76" w:rsidRPr="00F8138C" w:rsidRDefault="008D7C7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138C">
              <w:rPr>
                <w:rFonts w:ascii="Cambria" w:hAnsi="Cambria"/>
                <w:i/>
                <w:iCs/>
                <w:sz w:val="20"/>
                <w:szCs w:val="20"/>
              </w:rPr>
              <w:t>Załącznik 1</w:t>
            </w:r>
          </w:p>
        </w:tc>
        <w:tc>
          <w:tcPr>
            <w:tcW w:w="7649" w:type="dxa"/>
          </w:tcPr>
          <w:p w14:paraId="25C06261" w14:textId="68C55D5B" w:rsidR="008D7C76" w:rsidRPr="00F8138C" w:rsidRDefault="008D7C76" w:rsidP="008D7C76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138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wydruk informacji odpowiadającej odpisowi aktualnemu z KRS Portu</w:t>
            </w:r>
          </w:p>
        </w:tc>
      </w:tr>
      <w:tr w:rsidR="008D7C76" w:rsidRPr="00F8138C" w14:paraId="475C55C8" w14:textId="77777777" w:rsidTr="00F8138C">
        <w:tc>
          <w:tcPr>
            <w:tcW w:w="1413" w:type="dxa"/>
          </w:tcPr>
          <w:p w14:paraId="49649BC4" w14:textId="39BD043D" w:rsidR="008D7C76" w:rsidRPr="00F8138C" w:rsidRDefault="008D7C7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138C">
              <w:rPr>
                <w:rFonts w:ascii="Cambria" w:hAnsi="Cambria"/>
                <w:i/>
                <w:iCs/>
                <w:sz w:val="20"/>
                <w:szCs w:val="20"/>
              </w:rPr>
              <w:t>Załącznik 2</w:t>
            </w:r>
          </w:p>
        </w:tc>
        <w:tc>
          <w:tcPr>
            <w:tcW w:w="7649" w:type="dxa"/>
          </w:tcPr>
          <w:p w14:paraId="33B87B3B" w14:textId="10D274BF" w:rsidR="008D7C76" w:rsidRPr="00F8138C" w:rsidRDefault="008D7C76" w:rsidP="008D7C76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138C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wydruk informacji odpowiadającej odpisowi aktualnemu z KRS Operatora</w:t>
            </w:r>
          </w:p>
        </w:tc>
      </w:tr>
    </w:tbl>
    <w:p w14:paraId="25FE719E" w14:textId="77777777" w:rsidR="00DB5782" w:rsidRDefault="00DB5782"/>
    <w:sectPr w:rsidR="00DB57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ED24" w14:textId="77777777" w:rsidR="00714239" w:rsidRDefault="00714239" w:rsidP="0040322C">
      <w:pPr>
        <w:spacing w:after="0" w:line="240" w:lineRule="auto"/>
      </w:pPr>
      <w:r>
        <w:separator/>
      </w:r>
    </w:p>
  </w:endnote>
  <w:endnote w:type="continuationSeparator" w:id="0">
    <w:p w14:paraId="004A7034" w14:textId="77777777" w:rsidR="00714239" w:rsidRDefault="00714239" w:rsidP="0040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26126101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1629E" w14:textId="61232086" w:rsidR="000301C9" w:rsidRPr="000301C9" w:rsidRDefault="000301C9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0301C9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0301C9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0301C9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9E8CCD" w14:textId="77777777" w:rsidR="0042079A" w:rsidRDefault="00714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10A2" w14:textId="77777777" w:rsidR="00714239" w:rsidRDefault="00714239" w:rsidP="0040322C">
      <w:pPr>
        <w:spacing w:after="0" w:line="240" w:lineRule="auto"/>
      </w:pPr>
      <w:r>
        <w:separator/>
      </w:r>
    </w:p>
  </w:footnote>
  <w:footnote w:type="continuationSeparator" w:id="0">
    <w:p w14:paraId="3229E551" w14:textId="77777777" w:rsidR="00714239" w:rsidRDefault="00714239" w:rsidP="0040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BE2"/>
    <w:multiLevelType w:val="multilevel"/>
    <w:tmpl w:val="CFA0B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21" w:hanging="624"/>
      </w:pPr>
      <w:rPr>
        <w:rFonts w:ascii="Times New Roman" w:hAnsi="Times New Roman" w:cs="Times New Roman" w:hint="default"/>
        <w:i w:val="0"/>
        <w:iCs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E4C"/>
    <w:multiLevelType w:val="multilevel"/>
    <w:tmpl w:val="80D61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" w15:restartNumberingAfterBreak="0">
    <w:nsid w:val="123B1425"/>
    <w:multiLevelType w:val="multilevel"/>
    <w:tmpl w:val="42D0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3" w15:restartNumberingAfterBreak="0">
    <w:nsid w:val="13721FF0"/>
    <w:multiLevelType w:val="multilevel"/>
    <w:tmpl w:val="FA2AD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4" w15:restartNumberingAfterBreak="0">
    <w:nsid w:val="148E3DD0"/>
    <w:multiLevelType w:val="multilevel"/>
    <w:tmpl w:val="65FAB0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176F59"/>
    <w:multiLevelType w:val="multilevel"/>
    <w:tmpl w:val="84FC3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6" w15:restartNumberingAfterBreak="0">
    <w:nsid w:val="1EC40B38"/>
    <w:multiLevelType w:val="multilevel"/>
    <w:tmpl w:val="61C2B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7" w15:restartNumberingAfterBreak="0">
    <w:nsid w:val="23C15639"/>
    <w:multiLevelType w:val="multilevel"/>
    <w:tmpl w:val="69CEA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8" w15:restartNumberingAfterBreak="0">
    <w:nsid w:val="2A6E7597"/>
    <w:multiLevelType w:val="multilevel"/>
    <w:tmpl w:val="CB5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9" w15:restartNumberingAfterBreak="0">
    <w:nsid w:val="4E294C25"/>
    <w:multiLevelType w:val="multilevel"/>
    <w:tmpl w:val="E7E4A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0" w15:restartNumberingAfterBreak="0">
    <w:nsid w:val="4F1637C4"/>
    <w:multiLevelType w:val="multilevel"/>
    <w:tmpl w:val="99C21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1" w15:restartNumberingAfterBreak="0">
    <w:nsid w:val="590D23B4"/>
    <w:multiLevelType w:val="multilevel"/>
    <w:tmpl w:val="F442403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1021" w:hanging="62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2F99"/>
    <w:multiLevelType w:val="multilevel"/>
    <w:tmpl w:val="99C21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3" w15:restartNumberingAfterBreak="0">
    <w:nsid w:val="69010B14"/>
    <w:multiLevelType w:val="multilevel"/>
    <w:tmpl w:val="777C3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4" w15:restartNumberingAfterBreak="0">
    <w:nsid w:val="73B24386"/>
    <w:multiLevelType w:val="multilevel"/>
    <w:tmpl w:val="99C21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51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5" w15:restartNumberingAfterBreak="0">
    <w:nsid w:val="74151596"/>
    <w:multiLevelType w:val="multilevel"/>
    <w:tmpl w:val="C136A4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780587"/>
    <w:multiLevelType w:val="hybridMultilevel"/>
    <w:tmpl w:val="5414D35C"/>
    <w:lvl w:ilvl="0" w:tplc="FACC0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C"/>
    <w:rsid w:val="000301C9"/>
    <w:rsid w:val="00067095"/>
    <w:rsid w:val="000C1B12"/>
    <w:rsid w:val="000D0E95"/>
    <w:rsid w:val="00111756"/>
    <w:rsid w:val="001369BE"/>
    <w:rsid w:val="00141B65"/>
    <w:rsid w:val="00173DCC"/>
    <w:rsid w:val="001C6F4F"/>
    <w:rsid w:val="00224E18"/>
    <w:rsid w:val="00250A39"/>
    <w:rsid w:val="00261E65"/>
    <w:rsid w:val="00270726"/>
    <w:rsid w:val="00287309"/>
    <w:rsid w:val="00295511"/>
    <w:rsid w:val="002D211E"/>
    <w:rsid w:val="003279C1"/>
    <w:rsid w:val="00350AAC"/>
    <w:rsid w:val="00361648"/>
    <w:rsid w:val="00397114"/>
    <w:rsid w:val="003B35F3"/>
    <w:rsid w:val="003B6A8E"/>
    <w:rsid w:val="0040322C"/>
    <w:rsid w:val="00405DF1"/>
    <w:rsid w:val="00435932"/>
    <w:rsid w:val="004B00A9"/>
    <w:rsid w:val="004D0EA5"/>
    <w:rsid w:val="004D4F44"/>
    <w:rsid w:val="004E2307"/>
    <w:rsid w:val="004E78B3"/>
    <w:rsid w:val="004F3BE5"/>
    <w:rsid w:val="00541038"/>
    <w:rsid w:val="0055780D"/>
    <w:rsid w:val="005938BE"/>
    <w:rsid w:val="005A2061"/>
    <w:rsid w:val="005E19F6"/>
    <w:rsid w:val="00601062"/>
    <w:rsid w:val="00605708"/>
    <w:rsid w:val="00626622"/>
    <w:rsid w:val="006327D9"/>
    <w:rsid w:val="00637F1C"/>
    <w:rsid w:val="00644BE9"/>
    <w:rsid w:val="006C4E96"/>
    <w:rsid w:val="00714239"/>
    <w:rsid w:val="00733600"/>
    <w:rsid w:val="00735F83"/>
    <w:rsid w:val="007D1D74"/>
    <w:rsid w:val="00811CCA"/>
    <w:rsid w:val="00816FF8"/>
    <w:rsid w:val="008533E3"/>
    <w:rsid w:val="008543B5"/>
    <w:rsid w:val="00856A11"/>
    <w:rsid w:val="00857F91"/>
    <w:rsid w:val="00865CE9"/>
    <w:rsid w:val="00871189"/>
    <w:rsid w:val="00897487"/>
    <w:rsid w:val="008D7C76"/>
    <w:rsid w:val="008E4A2E"/>
    <w:rsid w:val="00904DBB"/>
    <w:rsid w:val="00912FE2"/>
    <w:rsid w:val="00942C24"/>
    <w:rsid w:val="00976675"/>
    <w:rsid w:val="0099104C"/>
    <w:rsid w:val="009A52E7"/>
    <w:rsid w:val="009D7A28"/>
    <w:rsid w:val="00A01501"/>
    <w:rsid w:val="00A05638"/>
    <w:rsid w:val="00A16A47"/>
    <w:rsid w:val="00A80A4B"/>
    <w:rsid w:val="00A860FB"/>
    <w:rsid w:val="00B53C14"/>
    <w:rsid w:val="00B87C4C"/>
    <w:rsid w:val="00BD1AEF"/>
    <w:rsid w:val="00BF5F50"/>
    <w:rsid w:val="00C2395F"/>
    <w:rsid w:val="00C268A2"/>
    <w:rsid w:val="00C836A1"/>
    <w:rsid w:val="00CD6D5E"/>
    <w:rsid w:val="00CF60D5"/>
    <w:rsid w:val="00D07B7C"/>
    <w:rsid w:val="00D305C6"/>
    <w:rsid w:val="00D33676"/>
    <w:rsid w:val="00D44A73"/>
    <w:rsid w:val="00D9741B"/>
    <w:rsid w:val="00DB5782"/>
    <w:rsid w:val="00DC41C2"/>
    <w:rsid w:val="00E33668"/>
    <w:rsid w:val="00E3492D"/>
    <w:rsid w:val="00E5390E"/>
    <w:rsid w:val="00E53D4C"/>
    <w:rsid w:val="00E70C9A"/>
    <w:rsid w:val="00E83679"/>
    <w:rsid w:val="00E925C1"/>
    <w:rsid w:val="00EB1DA5"/>
    <w:rsid w:val="00F164D2"/>
    <w:rsid w:val="00F179D1"/>
    <w:rsid w:val="00F3125D"/>
    <w:rsid w:val="00F31A34"/>
    <w:rsid w:val="00F4305D"/>
    <w:rsid w:val="00F65913"/>
    <w:rsid w:val="00F8138C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912"/>
  <w15:chartTrackingRefBased/>
  <w15:docId w15:val="{5507070E-D58D-4D68-9AA8-9A432A3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22C"/>
  </w:style>
  <w:style w:type="table" w:styleId="Tabela-Siatka">
    <w:name w:val="Table Grid"/>
    <w:basedOn w:val="Standardowy"/>
    <w:uiPriority w:val="39"/>
    <w:rsid w:val="0040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22C"/>
  </w:style>
  <w:style w:type="paragraph" w:styleId="Akapitzlist">
    <w:name w:val="List Paragraph"/>
    <w:basedOn w:val="Normalny"/>
    <w:uiPriority w:val="34"/>
    <w:qFormat/>
    <w:rsid w:val="002D211E"/>
    <w:pPr>
      <w:ind w:left="720"/>
      <w:contextualSpacing/>
    </w:pPr>
  </w:style>
  <w:style w:type="paragraph" w:styleId="Poprawka">
    <w:name w:val="Revision"/>
    <w:hidden/>
    <w:uiPriority w:val="99"/>
    <w:semiHidden/>
    <w:rsid w:val="00644B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CA2A-19A3-4235-97E1-2FDBB89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3136</Words>
  <Characters>18821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Szambelańczyk Krystyna</dc:creator>
  <cp:keywords/>
  <dc:description/>
  <cp:lastModifiedBy>Jarema Beata</cp:lastModifiedBy>
  <cp:revision>2</cp:revision>
  <cp:lastPrinted>2022-03-25T10:35:00Z</cp:lastPrinted>
  <dcterms:created xsi:type="dcterms:W3CDTF">2022-03-25T12:28:00Z</dcterms:created>
  <dcterms:modified xsi:type="dcterms:W3CDTF">2022-03-25T12:28:00Z</dcterms:modified>
</cp:coreProperties>
</file>